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80" w:rsidRDefault="00BF2C80" w:rsidP="0016549A">
      <w:pPr>
        <w:pStyle w:val="Ttulo1"/>
        <w:spacing w:after="240"/>
        <w:ind w:left="708" w:firstLine="708"/>
        <w:rPr>
          <w:sz w:val="32"/>
          <w:szCs w:val="32"/>
        </w:rPr>
      </w:pPr>
    </w:p>
    <w:p w:rsidR="0091747C" w:rsidRPr="00BF2C80" w:rsidRDefault="0091747C" w:rsidP="00BF2C80">
      <w:pPr>
        <w:pStyle w:val="Ttulo1"/>
        <w:spacing w:after="240"/>
        <w:ind w:left="2124"/>
        <w:rPr>
          <w:sz w:val="32"/>
          <w:szCs w:val="32"/>
        </w:rPr>
      </w:pPr>
      <w:r w:rsidRPr="00BF2C80">
        <w:rPr>
          <w:sz w:val="32"/>
          <w:szCs w:val="32"/>
        </w:rPr>
        <w:t>PROCEDIMIENTO</w:t>
      </w:r>
      <w:r w:rsidR="00BF2C80">
        <w:rPr>
          <w:sz w:val="32"/>
          <w:szCs w:val="32"/>
        </w:rPr>
        <w:t xml:space="preserve"> </w:t>
      </w:r>
      <w:r w:rsidR="00D23B45" w:rsidRPr="00BF2C80">
        <w:rPr>
          <w:sz w:val="32"/>
          <w:szCs w:val="32"/>
        </w:rPr>
        <w:t>SELECCIÓN POR SUBASTA INVERSA / SELECCIÓN ABREVIADA DE MENOR CUANTÍA</w:t>
      </w:r>
    </w:p>
    <w:p w:rsidR="00BF2C80" w:rsidRDefault="00BF2C80" w:rsidP="00D23B45">
      <w:pPr>
        <w:pStyle w:val="Ttulo2"/>
        <w:spacing w:after="240"/>
        <w:ind w:left="0"/>
        <w:rPr>
          <w:sz w:val="24"/>
        </w:rPr>
      </w:pPr>
    </w:p>
    <w:p w:rsidR="00BF2C80" w:rsidRDefault="00BF2C80" w:rsidP="00BF2C80">
      <w:pPr>
        <w:pStyle w:val="Ttulo2"/>
        <w:keepLines/>
        <w:numPr>
          <w:ilvl w:val="0"/>
          <w:numId w:val="36"/>
        </w:numPr>
        <w:spacing w:before="40"/>
        <w:rPr>
          <w:sz w:val="24"/>
        </w:rPr>
      </w:pPr>
      <w:r w:rsidRPr="00923F9D">
        <w:rPr>
          <w:sz w:val="24"/>
        </w:rPr>
        <w:t>DATOS BÁSICOS DEL PROCEDIMIENTO</w:t>
      </w:r>
    </w:p>
    <w:p w:rsidR="00BF2C80" w:rsidRDefault="00BF2C80" w:rsidP="00D23B45">
      <w:pPr>
        <w:pStyle w:val="Ttulo2"/>
        <w:spacing w:after="240"/>
        <w:ind w:left="0"/>
        <w:rPr>
          <w:sz w:val="24"/>
        </w:rPr>
      </w:pPr>
    </w:p>
    <w:tbl>
      <w:tblPr>
        <w:tblStyle w:val="Tablaconcuadrcula4-nfasis5"/>
        <w:tblW w:w="0" w:type="auto"/>
        <w:tblInd w:w="-5" w:type="dxa"/>
        <w:tblLook w:val="04A0" w:firstRow="1" w:lastRow="0" w:firstColumn="1" w:lastColumn="0" w:noHBand="0" w:noVBand="1"/>
      </w:tblPr>
      <w:tblGrid>
        <w:gridCol w:w="5529"/>
        <w:gridCol w:w="3685"/>
        <w:gridCol w:w="2126"/>
        <w:gridCol w:w="2694"/>
      </w:tblGrid>
      <w:tr w:rsidR="00BF2C80" w:rsidRPr="00685B1F" w:rsidTr="009E5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BF2C80" w:rsidRPr="00685B1F" w:rsidRDefault="00BF2C80" w:rsidP="009E56AF">
            <w:pPr>
              <w:jc w:val="center"/>
              <w:rPr>
                <w:rFonts w:ascii="Arial" w:hAnsi="Arial" w:cs="Arial"/>
                <w:b w:val="0"/>
                <w:bCs w:val="0"/>
                <w:sz w:val="28"/>
              </w:rPr>
            </w:pPr>
            <w:r w:rsidRPr="00685B1F">
              <w:rPr>
                <w:rFonts w:ascii="Arial" w:hAnsi="Arial" w:cs="Arial"/>
                <w:b w:val="0"/>
                <w:bCs w:val="0"/>
                <w:sz w:val="28"/>
              </w:rPr>
              <w:t>Nombre del proceso</w:t>
            </w:r>
          </w:p>
        </w:tc>
        <w:tc>
          <w:tcPr>
            <w:tcW w:w="3685" w:type="dxa"/>
          </w:tcPr>
          <w:p w:rsidR="00BF2C80" w:rsidRPr="00685B1F" w:rsidRDefault="00BF2C80"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Código</w:t>
            </w:r>
          </w:p>
        </w:tc>
        <w:tc>
          <w:tcPr>
            <w:tcW w:w="2126" w:type="dxa"/>
          </w:tcPr>
          <w:p w:rsidR="00BF2C80" w:rsidRPr="00685B1F" w:rsidRDefault="00BF2C80"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Versión</w:t>
            </w:r>
          </w:p>
        </w:tc>
        <w:tc>
          <w:tcPr>
            <w:tcW w:w="2694" w:type="dxa"/>
          </w:tcPr>
          <w:p w:rsidR="00BF2C80" w:rsidRPr="00685B1F" w:rsidRDefault="00BF2C80"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Vigencia</w:t>
            </w:r>
          </w:p>
        </w:tc>
      </w:tr>
      <w:tr w:rsidR="00BF2C80" w:rsidRPr="00685B1F" w:rsidTr="009E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BF2C80" w:rsidRPr="00685B1F" w:rsidRDefault="00BF2C80" w:rsidP="009E56AF">
            <w:pPr>
              <w:jc w:val="center"/>
              <w:rPr>
                <w:rFonts w:ascii="Arial" w:hAnsi="Arial" w:cs="Arial"/>
                <w:b w:val="0"/>
                <w:bCs w:val="0"/>
                <w:sz w:val="28"/>
              </w:rPr>
            </w:pPr>
            <w:proofErr w:type="spellStart"/>
            <w:r>
              <w:rPr>
                <w:rFonts w:ascii="Arial" w:hAnsi="Arial" w:cs="Arial"/>
                <w:b w:val="0"/>
                <w:bCs w:val="0"/>
                <w:sz w:val="28"/>
              </w:rPr>
              <w:t>Gestion</w:t>
            </w:r>
            <w:proofErr w:type="spellEnd"/>
            <w:r>
              <w:rPr>
                <w:rFonts w:ascii="Arial" w:hAnsi="Arial" w:cs="Arial"/>
                <w:b w:val="0"/>
                <w:bCs w:val="0"/>
                <w:sz w:val="28"/>
              </w:rPr>
              <w:t xml:space="preserve"> Contractual</w:t>
            </w:r>
          </w:p>
        </w:tc>
        <w:tc>
          <w:tcPr>
            <w:tcW w:w="3685" w:type="dxa"/>
          </w:tcPr>
          <w:p w:rsidR="00BF2C80" w:rsidRPr="00BF2C80" w:rsidRDefault="00BF2C80" w:rsidP="009E56AF">
            <w:pPr>
              <w:jc w:val="center"/>
              <w:cnfStyle w:val="000000100000" w:firstRow="0" w:lastRow="0" w:firstColumn="0" w:lastColumn="0" w:oddVBand="0" w:evenVBand="0" w:oddHBand="1" w:evenHBand="0" w:firstRowFirstColumn="0" w:firstRowLastColumn="0" w:lastRowFirstColumn="0" w:lastRowLastColumn="0"/>
            </w:pPr>
            <w:r w:rsidRPr="00BF2C80">
              <w:rPr>
                <w:rFonts w:ascii="Arial" w:hAnsi="Arial" w:cs="Arial"/>
                <w:sz w:val="28"/>
              </w:rPr>
              <w:t>OAJ-102-GC-PD-0022</w:t>
            </w:r>
          </w:p>
        </w:tc>
        <w:tc>
          <w:tcPr>
            <w:tcW w:w="2126" w:type="dxa"/>
          </w:tcPr>
          <w:p w:rsidR="00BF2C80" w:rsidRPr="00685B1F" w:rsidRDefault="00BF2C80"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1CA0A98C">
              <w:rPr>
                <w:rFonts w:ascii="Arial" w:hAnsi="Arial" w:cs="Arial"/>
                <w:sz w:val="28"/>
                <w:szCs w:val="28"/>
              </w:rPr>
              <w:t>0001</w:t>
            </w:r>
          </w:p>
        </w:tc>
        <w:tc>
          <w:tcPr>
            <w:tcW w:w="2694" w:type="dxa"/>
          </w:tcPr>
          <w:p w:rsidR="00BF2C80" w:rsidRPr="00685B1F" w:rsidRDefault="00BF2C80"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15B539A2">
              <w:rPr>
                <w:rFonts w:ascii="Arial" w:hAnsi="Arial" w:cs="Arial"/>
                <w:sz w:val="28"/>
                <w:szCs w:val="28"/>
              </w:rPr>
              <w:t>2</w:t>
            </w:r>
            <w:r w:rsidR="0043056E">
              <w:rPr>
                <w:rFonts w:ascii="Arial" w:hAnsi="Arial" w:cs="Arial"/>
                <w:sz w:val="28"/>
                <w:szCs w:val="28"/>
              </w:rPr>
              <w:t>2</w:t>
            </w:r>
            <w:bookmarkStart w:id="0" w:name="_GoBack"/>
            <w:bookmarkEnd w:id="0"/>
            <w:r w:rsidRPr="15B539A2">
              <w:rPr>
                <w:rFonts w:ascii="Arial" w:hAnsi="Arial" w:cs="Arial"/>
                <w:sz w:val="28"/>
                <w:szCs w:val="28"/>
              </w:rPr>
              <w:t>/</w:t>
            </w:r>
            <w:r>
              <w:rPr>
                <w:rFonts w:ascii="Arial" w:hAnsi="Arial" w:cs="Arial"/>
                <w:sz w:val="28"/>
                <w:szCs w:val="28"/>
              </w:rPr>
              <w:t>12</w:t>
            </w:r>
            <w:r w:rsidRPr="15B539A2">
              <w:rPr>
                <w:rFonts w:ascii="Arial" w:hAnsi="Arial" w:cs="Arial"/>
                <w:sz w:val="28"/>
                <w:szCs w:val="28"/>
              </w:rPr>
              <w:t>/2022</w:t>
            </w:r>
          </w:p>
        </w:tc>
      </w:tr>
      <w:tr w:rsidR="00BF2C80" w:rsidRPr="00685B1F" w:rsidTr="009E56AF">
        <w:tc>
          <w:tcPr>
            <w:cnfStyle w:val="001000000000" w:firstRow="0" w:lastRow="0" w:firstColumn="1" w:lastColumn="0" w:oddVBand="0" w:evenVBand="0" w:oddHBand="0" w:evenHBand="0" w:firstRowFirstColumn="0" w:firstRowLastColumn="0" w:lastRowFirstColumn="0" w:lastRowLastColumn="0"/>
            <w:tcW w:w="5529" w:type="dxa"/>
            <w:shd w:val="clear" w:color="auto" w:fill="4472C4" w:themeFill="accent5"/>
          </w:tcPr>
          <w:p w:rsidR="00BF2C80" w:rsidRPr="00685B1F" w:rsidRDefault="00BF2C80" w:rsidP="009E56AF">
            <w:pPr>
              <w:jc w:val="center"/>
              <w:rPr>
                <w:rFonts w:ascii="Arial" w:hAnsi="Arial" w:cs="Arial"/>
                <w:sz w:val="28"/>
              </w:rPr>
            </w:pPr>
            <w:r w:rsidRPr="00343A41">
              <w:rPr>
                <w:rFonts w:ascii="Arial" w:hAnsi="Arial" w:cs="Arial"/>
                <w:bCs w:val="0"/>
                <w:color w:val="FFFFFF" w:themeColor="background1"/>
              </w:rPr>
              <w:t>Confidencialidad:</w:t>
            </w:r>
          </w:p>
        </w:tc>
        <w:tc>
          <w:tcPr>
            <w:tcW w:w="3685" w:type="dxa"/>
            <w:shd w:val="clear" w:color="auto" w:fill="4472C4" w:themeFill="accent5"/>
          </w:tcPr>
          <w:p w:rsidR="00BF2C80" w:rsidRPr="1CA0A98C" w:rsidRDefault="00BF2C80" w:rsidP="009E56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3A41">
              <w:rPr>
                <w:rFonts w:ascii="Arial" w:hAnsi="Arial" w:cs="Arial"/>
                <w:color w:val="FFFFFF" w:themeColor="background1"/>
              </w:rPr>
              <w:t>Integridad:</w:t>
            </w:r>
          </w:p>
        </w:tc>
        <w:tc>
          <w:tcPr>
            <w:tcW w:w="4820" w:type="dxa"/>
            <w:gridSpan w:val="2"/>
            <w:shd w:val="clear" w:color="auto" w:fill="4472C4" w:themeFill="accent5"/>
          </w:tcPr>
          <w:p w:rsidR="00BF2C80" w:rsidRPr="15B539A2" w:rsidRDefault="00BF2C80" w:rsidP="009E56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343A41">
              <w:rPr>
                <w:rFonts w:ascii="Arial" w:hAnsi="Arial" w:cs="Arial"/>
                <w:color w:val="FFFFFF" w:themeColor="background1"/>
              </w:rPr>
              <w:t>Disponibilidad:</w:t>
            </w:r>
          </w:p>
        </w:tc>
      </w:tr>
      <w:tr w:rsidR="00BF2C80" w:rsidRPr="00685B1F" w:rsidTr="009E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D9E2F3"/>
          </w:tcPr>
          <w:p w:rsidR="00BF2C80" w:rsidRPr="005E7320" w:rsidRDefault="00BF2C80" w:rsidP="009E56AF">
            <w:pPr>
              <w:jc w:val="center"/>
              <w:rPr>
                <w:rFonts w:ascii="Arial" w:hAnsi="Arial" w:cs="Arial"/>
                <w:b w:val="0"/>
                <w:sz w:val="28"/>
              </w:rPr>
            </w:pPr>
            <w:r w:rsidRPr="005E7320">
              <w:rPr>
                <w:rFonts w:ascii="Arial" w:hAnsi="Arial" w:cs="Arial"/>
                <w:b w:val="0"/>
                <w:bCs w:val="0"/>
                <w:sz w:val="28"/>
                <w:szCs w:val="28"/>
              </w:rPr>
              <w:t>Baja</w:t>
            </w:r>
          </w:p>
        </w:tc>
        <w:tc>
          <w:tcPr>
            <w:tcW w:w="3685" w:type="dxa"/>
            <w:shd w:val="clear" w:color="auto" w:fill="D9E2F3"/>
          </w:tcPr>
          <w:p w:rsidR="00BF2C80" w:rsidRPr="1CA0A98C" w:rsidRDefault="00BF2C80"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92C15">
              <w:rPr>
                <w:rFonts w:ascii="Arial" w:hAnsi="Arial" w:cs="Arial"/>
                <w:sz w:val="28"/>
                <w:szCs w:val="28"/>
              </w:rPr>
              <w:t>Alta</w:t>
            </w:r>
          </w:p>
        </w:tc>
        <w:tc>
          <w:tcPr>
            <w:tcW w:w="4820" w:type="dxa"/>
            <w:gridSpan w:val="2"/>
            <w:shd w:val="clear" w:color="auto" w:fill="D9E2F3"/>
            <w:vAlign w:val="center"/>
          </w:tcPr>
          <w:p w:rsidR="00BF2C80" w:rsidRPr="15B539A2" w:rsidRDefault="00BF2C80"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A92C15">
              <w:rPr>
                <w:rFonts w:ascii="Arial" w:hAnsi="Arial" w:cs="Arial"/>
                <w:sz w:val="28"/>
                <w:szCs w:val="28"/>
              </w:rPr>
              <w:t>Alta</w:t>
            </w:r>
          </w:p>
        </w:tc>
      </w:tr>
    </w:tbl>
    <w:p w:rsidR="00BF2C80" w:rsidRPr="00BF2C80" w:rsidRDefault="00BF2C80" w:rsidP="00BF2C80">
      <w:pPr>
        <w:rPr>
          <w:lang w:val="es-ES_tradnl"/>
        </w:rPr>
      </w:pPr>
    </w:p>
    <w:p w:rsidR="005F3D8F" w:rsidRPr="00BF2C80" w:rsidRDefault="00F75562" w:rsidP="00D23B45">
      <w:pPr>
        <w:jc w:val="both"/>
        <w:rPr>
          <w:rFonts w:ascii="Arial" w:hAnsi="Arial" w:cs="Arial"/>
          <w:b/>
        </w:rPr>
      </w:pPr>
      <w:r w:rsidRPr="00BF2C80">
        <w:rPr>
          <w:rFonts w:ascii="Arial" w:hAnsi="Arial" w:cs="Arial"/>
          <w:b/>
        </w:rPr>
        <w:t>2. O</w:t>
      </w:r>
      <w:r w:rsidR="00EB0E97" w:rsidRPr="00BF2C80">
        <w:rPr>
          <w:rFonts w:ascii="Arial" w:hAnsi="Arial" w:cs="Arial"/>
          <w:b/>
        </w:rPr>
        <w:t>BJETIVO</w:t>
      </w:r>
      <w:r w:rsidR="00855B04" w:rsidRPr="00BF2C80">
        <w:rPr>
          <w:rFonts w:ascii="Arial" w:hAnsi="Arial" w:cs="Arial"/>
          <w:b/>
        </w:rPr>
        <w:t xml:space="preserve">: </w:t>
      </w:r>
    </w:p>
    <w:p w:rsidR="00855B04" w:rsidRPr="00D23B45" w:rsidRDefault="00855B04" w:rsidP="00D23B45">
      <w:pPr>
        <w:spacing w:after="240"/>
        <w:rPr>
          <w:rFonts w:ascii="Arial" w:hAnsi="Arial" w:cs="Arial"/>
          <w:bCs/>
          <w:lang w:val="es-CO"/>
        </w:rPr>
      </w:pPr>
      <w:r w:rsidRPr="00D23B45">
        <w:rPr>
          <w:rFonts w:ascii="Arial" w:hAnsi="Arial" w:cs="Arial"/>
          <w:bCs/>
          <w:lang w:val="es-CO"/>
        </w:rPr>
        <w:t xml:space="preserve">Contratar los bienes y/o servicios que requiera la entidad para el cumplimiento de sus funciones y fines misionales en aplicación de los principios que rigen </w:t>
      </w:r>
      <w:r w:rsidR="00335766" w:rsidRPr="00D23B45">
        <w:rPr>
          <w:rFonts w:ascii="Arial" w:hAnsi="Arial" w:cs="Arial"/>
          <w:bCs/>
          <w:lang w:val="es-CO"/>
        </w:rPr>
        <w:t xml:space="preserve">la </w:t>
      </w:r>
      <w:r w:rsidRPr="00D23B45">
        <w:rPr>
          <w:rFonts w:ascii="Arial" w:hAnsi="Arial" w:cs="Arial"/>
          <w:bCs/>
          <w:lang w:val="es-CO"/>
        </w:rPr>
        <w:t>contratación pública</w:t>
      </w:r>
      <w:r w:rsidR="00335766" w:rsidRPr="00D23B45">
        <w:rPr>
          <w:rFonts w:ascii="Arial" w:hAnsi="Arial" w:cs="Arial"/>
          <w:bCs/>
          <w:lang w:val="es-CO"/>
        </w:rPr>
        <w:t xml:space="preserve"> bajo la modalidad de </w:t>
      </w:r>
      <w:r w:rsidR="006257F4" w:rsidRPr="00D23B45">
        <w:rPr>
          <w:rFonts w:ascii="Arial" w:hAnsi="Arial" w:cs="Arial"/>
          <w:bCs/>
          <w:lang w:val="es-CO"/>
        </w:rPr>
        <w:t>Selección Abreviada de Menor Cuantía y Selección Abreviada por Subasta Inversa.</w:t>
      </w:r>
      <w:r w:rsidR="00335766" w:rsidRPr="00D23B45">
        <w:rPr>
          <w:rFonts w:ascii="Arial" w:hAnsi="Arial" w:cs="Arial"/>
          <w:bCs/>
          <w:lang w:val="es-CO"/>
        </w:rPr>
        <w:t xml:space="preserve"> </w:t>
      </w:r>
    </w:p>
    <w:p w:rsidR="005F3D8F" w:rsidRPr="00D23B45" w:rsidRDefault="007C28E3" w:rsidP="00D23B45">
      <w:pPr>
        <w:spacing w:after="240"/>
        <w:rPr>
          <w:rFonts w:ascii="Arial" w:hAnsi="Arial" w:cs="Arial"/>
          <w:b/>
          <w:bCs/>
          <w:lang w:val="es-CO"/>
        </w:rPr>
      </w:pPr>
      <w:r w:rsidRPr="00D23B45">
        <w:rPr>
          <w:rFonts w:ascii="Arial" w:hAnsi="Arial" w:cs="Arial"/>
          <w:b/>
          <w:bCs/>
          <w:lang w:val="es-CO"/>
        </w:rPr>
        <w:t xml:space="preserve"> </w:t>
      </w:r>
      <w:r w:rsidR="004C7914" w:rsidRPr="00D23B45">
        <w:rPr>
          <w:rFonts w:ascii="Arial" w:hAnsi="Arial" w:cs="Arial"/>
          <w:b/>
          <w:bCs/>
          <w:lang w:val="es-CO"/>
        </w:rPr>
        <w:t>3. A</w:t>
      </w:r>
      <w:r w:rsidR="00096576" w:rsidRPr="00D23B45">
        <w:rPr>
          <w:rFonts w:ascii="Arial" w:hAnsi="Arial" w:cs="Arial"/>
          <w:b/>
          <w:bCs/>
          <w:lang w:val="es-CO"/>
        </w:rPr>
        <w:t>L</w:t>
      </w:r>
      <w:r w:rsidR="008C123F" w:rsidRPr="00D23B45">
        <w:rPr>
          <w:rFonts w:ascii="Arial" w:hAnsi="Arial" w:cs="Arial"/>
          <w:b/>
          <w:bCs/>
          <w:lang w:val="es-CO"/>
        </w:rPr>
        <w:t>CANCE</w:t>
      </w:r>
      <w:r w:rsidR="00855B04" w:rsidRPr="00D23B45">
        <w:rPr>
          <w:rFonts w:ascii="Arial" w:hAnsi="Arial" w:cs="Arial"/>
          <w:b/>
          <w:bCs/>
          <w:lang w:val="es-CO"/>
        </w:rPr>
        <w:t xml:space="preserve">: </w:t>
      </w:r>
    </w:p>
    <w:p w:rsidR="00982471" w:rsidRPr="00D23B45" w:rsidRDefault="00855B04" w:rsidP="00D23B45">
      <w:pPr>
        <w:spacing w:after="240"/>
        <w:rPr>
          <w:rFonts w:ascii="Arial" w:hAnsi="Arial" w:cs="Arial"/>
          <w:bCs/>
          <w:lang w:val="es-CO"/>
        </w:rPr>
      </w:pPr>
      <w:r w:rsidRPr="00D23B45">
        <w:rPr>
          <w:rFonts w:ascii="Arial" w:hAnsi="Arial" w:cs="Arial"/>
          <w:bCs/>
          <w:lang w:val="es-CO"/>
        </w:rPr>
        <w:t>El procedimiento inicia con la verificación en el plan de adquisiciones del objeto a contratar y finaliza con la delegación de la supervisión del contrato.</w:t>
      </w:r>
    </w:p>
    <w:p w:rsidR="00982471" w:rsidRPr="007C28E3" w:rsidRDefault="004C7914" w:rsidP="00D23B45">
      <w:pPr>
        <w:pStyle w:val="Ttulo2"/>
        <w:spacing w:after="240"/>
        <w:ind w:left="0"/>
        <w:rPr>
          <w:sz w:val="24"/>
        </w:rPr>
      </w:pPr>
      <w:r w:rsidRPr="007C28E3">
        <w:rPr>
          <w:sz w:val="24"/>
        </w:rPr>
        <w:t>4. P</w:t>
      </w:r>
      <w:r w:rsidR="00EB0E97" w:rsidRPr="007C28E3">
        <w:rPr>
          <w:sz w:val="24"/>
        </w:rPr>
        <w:t>OLÍTICAS DE OPERACIÓN</w:t>
      </w:r>
      <w:r w:rsidR="00565B47" w:rsidRPr="007C28E3">
        <w:rPr>
          <w:sz w:val="24"/>
        </w:rPr>
        <w:t xml:space="preserve"> </w:t>
      </w:r>
    </w:p>
    <w:p w:rsidR="00855B04" w:rsidRPr="007C28E3" w:rsidRDefault="00855B04" w:rsidP="00D23B45">
      <w:pPr>
        <w:pStyle w:val="Prrafodelista"/>
        <w:numPr>
          <w:ilvl w:val="0"/>
          <w:numId w:val="33"/>
        </w:numPr>
        <w:spacing w:after="240"/>
        <w:rPr>
          <w:rFonts w:ascii="Arial" w:hAnsi="Arial" w:cs="Arial"/>
          <w:bCs/>
          <w:lang w:val="es-CO"/>
        </w:rPr>
      </w:pPr>
      <w:r w:rsidRPr="007C28E3">
        <w:rPr>
          <w:rFonts w:ascii="Arial" w:hAnsi="Arial" w:cs="Arial"/>
          <w:bCs/>
          <w:lang w:val="es-CO"/>
        </w:rPr>
        <w:t>Consultar y aplicar lineamientos establecidos en el Manual de Contratación del INCI, conforme a la causal de modalidad de</w:t>
      </w:r>
      <w:r w:rsidR="00335766" w:rsidRPr="007C28E3">
        <w:rPr>
          <w:rFonts w:ascii="Arial" w:hAnsi="Arial" w:cs="Arial"/>
          <w:bCs/>
          <w:lang w:val="es-CO"/>
        </w:rPr>
        <w:t xml:space="preserve"> </w:t>
      </w:r>
      <w:r w:rsidR="00814D70" w:rsidRPr="007C28E3">
        <w:rPr>
          <w:rFonts w:ascii="Arial" w:hAnsi="Arial" w:cs="Arial"/>
          <w:bCs/>
          <w:lang w:val="es-CO"/>
        </w:rPr>
        <w:t>Selección Abreviada de Menor Cuantía y Selección Abreviada por Subasta Inversa.</w:t>
      </w:r>
    </w:p>
    <w:p w:rsidR="00F32600" w:rsidRPr="007C28E3" w:rsidRDefault="00814D70" w:rsidP="00D23B45">
      <w:pPr>
        <w:pStyle w:val="Prrafodelista"/>
        <w:numPr>
          <w:ilvl w:val="0"/>
          <w:numId w:val="33"/>
        </w:numPr>
        <w:spacing w:after="240"/>
        <w:jc w:val="both"/>
        <w:rPr>
          <w:rFonts w:ascii="Arial" w:hAnsi="Arial" w:cs="Arial"/>
          <w:bCs/>
          <w:lang w:val="es-CO"/>
        </w:rPr>
      </w:pPr>
      <w:r w:rsidRPr="007C28E3">
        <w:rPr>
          <w:rFonts w:ascii="Arial" w:hAnsi="Arial" w:cs="Arial"/>
          <w:bCs/>
          <w:lang w:val="es-CO"/>
        </w:rPr>
        <w:t>Por esta modalidad se tramitan la adquisición de bienes y servicios de características técnicas uniformes de acuerdo con el literal a) del numeral 2 del artículo 2º de la Ley 1150 de 2007, se predican de aquellos bienes y servicios “que poseen las mismas especificaciones técnicas, con independencia de su diseño o de sus características descriptivas, y comparten patrones de desempeño y calidad objetivamente definidos”.</w:t>
      </w:r>
    </w:p>
    <w:p w:rsidR="00814D70" w:rsidRPr="007C28E3" w:rsidRDefault="00814D70" w:rsidP="00D23B45">
      <w:pPr>
        <w:pStyle w:val="Prrafodelista"/>
        <w:spacing w:after="240"/>
        <w:jc w:val="both"/>
        <w:rPr>
          <w:rFonts w:ascii="Arial" w:hAnsi="Arial" w:cs="Arial"/>
          <w:bCs/>
          <w:lang w:val="es-CO"/>
        </w:rPr>
      </w:pPr>
      <w:r w:rsidRPr="007C28E3">
        <w:rPr>
          <w:rFonts w:ascii="Arial" w:hAnsi="Arial" w:cs="Arial"/>
          <w:bCs/>
          <w:lang w:val="es-CO"/>
        </w:rPr>
        <w:t>Por características técnicas uniformes se quiere significar que se trata de un bien o servicio que presta la misma utilidad para El INCI y satisface idéntica necesidad de la misma forma, independientemente del nombre comercial del bien o la marca del bien o servicio ofertado o de su forma de presentación, es decir, que el elemento fundamental y determinante debe estar relacionado con las características intrínsecas e individuales del bien o servicio y no por quien lo ofrece o su apariencia o aspecto físico.</w:t>
      </w:r>
    </w:p>
    <w:p w:rsidR="00F32600" w:rsidRPr="007C28E3" w:rsidRDefault="00F32600"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Siempre se requerirá estudios previos</w:t>
      </w:r>
      <w:r w:rsidR="00335766" w:rsidRPr="007C28E3">
        <w:rPr>
          <w:rFonts w:ascii="Arial" w:hAnsi="Arial" w:cs="Arial"/>
          <w:bCs/>
          <w:lang w:val="es-CO"/>
        </w:rPr>
        <w:t xml:space="preserve"> y estudios del sector.</w:t>
      </w:r>
    </w:p>
    <w:p w:rsidR="00F32600" w:rsidRPr="007C28E3" w:rsidRDefault="009537FF"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La revisión de los estudios previos y sus diferentes versiones se realizará por medio de correo electrónico, hasta obtener la versión final de lo</w:t>
      </w:r>
      <w:r w:rsidR="00E76D11" w:rsidRPr="007C28E3">
        <w:rPr>
          <w:rFonts w:ascii="Arial" w:hAnsi="Arial" w:cs="Arial"/>
          <w:bCs/>
          <w:lang w:val="es-CO"/>
        </w:rPr>
        <w:t>s estudios y documentos previos.</w:t>
      </w:r>
    </w:p>
    <w:p w:rsidR="00EB0E97" w:rsidRPr="007C28E3" w:rsidRDefault="00F32600"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La Oficina Asesora Jurídica tendrá un plazo máximo de ocho (8) días hábiles para publicar y dar inicio al proceso de contratación, este termino se contará a partir de la fecha de radicación del memorando solicitud de contratación suscrito por el ordenador del gasto y sus anexos, dicho término será suceptible de variaciones en caso de que</w:t>
      </w:r>
      <w:r w:rsidR="009537FF" w:rsidRPr="007C28E3">
        <w:rPr>
          <w:rFonts w:ascii="Arial" w:hAnsi="Arial" w:cs="Arial"/>
          <w:bCs/>
          <w:lang w:val="es-CO"/>
        </w:rPr>
        <w:t>:</w:t>
      </w:r>
      <w:r w:rsidRPr="007C28E3">
        <w:rPr>
          <w:rFonts w:ascii="Arial" w:hAnsi="Arial" w:cs="Arial"/>
          <w:bCs/>
          <w:lang w:val="es-CO"/>
        </w:rPr>
        <w:t xml:space="preserve"> falten documentos</w:t>
      </w:r>
      <w:r w:rsidR="009537FF" w:rsidRPr="007C28E3">
        <w:rPr>
          <w:rFonts w:ascii="Arial" w:hAnsi="Arial" w:cs="Arial"/>
          <w:bCs/>
          <w:lang w:val="es-CO"/>
        </w:rPr>
        <w:t xml:space="preserve">, </w:t>
      </w:r>
      <w:r w:rsidRPr="007C28E3">
        <w:rPr>
          <w:rFonts w:ascii="Arial" w:hAnsi="Arial" w:cs="Arial"/>
          <w:bCs/>
          <w:lang w:val="es-CO"/>
        </w:rPr>
        <w:t xml:space="preserve">no se hayan realizado </w:t>
      </w:r>
      <w:r w:rsidR="009537FF" w:rsidRPr="007C28E3">
        <w:rPr>
          <w:rFonts w:ascii="Arial" w:hAnsi="Arial" w:cs="Arial"/>
          <w:bCs/>
          <w:lang w:val="es-CO"/>
        </w:rPr>
        <w:t>los ajustes solicitados y/o hayan inconsistencias en los mismos.</w:t>
      </w:r>
    </w:p>
    <w:p w:rsidR="004A455A" w:rsidRPr="007C28E3" w:rsidRDefault="004A455A"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En caso que un proceso de selección se declare desierto, el área donde surge la necesidad de contratar, tendrá hasta cuatro (4) días después de dicha declaratoria, para realizar los ajustes que correspondan a los estudios previos sobre los asuntos que hayan podido incidir en la declaratoria de desierto.</w:t>
      </w:r>
    </w:p>
    <w:p w:rsidR="00BA04CB" w:rsidRPr="007C28E3" w:rsidRDefault="00BA04CB"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El cronograma del proceso en el SECOP II se realizará conforme a lo establecido en el Decreto 1082 de 2015</w:t>
      </w:r>
      <w:r w:rsidR="00814D70" w:rsidRPr="007C28E3">
        <w:rPr>
          <w:rFonts w:ascii="Arial" w:hAnsi="Arial" w:cs="Arial"/>
          <w:bCs/>
          <w:lang w:val="es-CO"/>
        </w:rPr>
        <w:t>.</w:t>
      </w:r>
    </w:p>
    <w:p w:rsidR="006F58DB" w:rsidRPr="007C28E3" w:rsidRDefault="006F58DB"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El expediente del proceso y el contrato será parcialmente electrónico y será parte integral del expediente físico, todo esto en implementación de la Circular Externa No. 21 de 22 de febrero de 2017</w:t>
      </w:r>
      <w:r w:rsidR="00713803" w:rsidRPr="007C28E3">
        <w:rPr>
          <w:rFonts w:ascii="Arial" w:hAnsi="Arial" w:cs="Arial"/>
          <w:bCs/>
          <w:lang w:val="es-CO"/>
        </w:rPr>
        <w:t xml:space="preserve"> expedida por el Archivo General de la Nación. </w:t>
      </w:r>
    </w:p>
    <w:p w:rsidR="00CB652B" w:rsidRPr="007C28E3" w:rsidRDefault="00CB652B" w:rsidP="00D23B45">
      <w:pPr>
        <w:autoSpaceDE w:val="0"/>
        <w:autoSpaceDN w:val="0"/>
        <w:adjustRightInd w:val="0"/>
        <w:spacing w:after="240"/>
        <w:jc w:val="both"/>
        <w:rPr>
          <w:rFonts w:ascii="Arial" w:hAnsi="Arial" w:cs="Arial"/>
          <w:b/>
        </w:rPr>
      </w:pPr>
      <w:r w:rsidRPr="007C28E3">
        <w:rPr>
          <w:rFonts w:ascii="Arial" w:hAnsi="Arial" w:cs="Arial"/>
          <w:b/>
          <w:bCs/>
          <w:lang w:val="es-CO"/>
        </w:rPr>
        <w:t>5. NORMATIVIDAD</w:t>
      </w:r>
    </w:p>
    <w:p w:rsidR="00CB652B" w:rsidRPr="007C28E3" w:rsidRDefault="00CB652B" w:rsidP="00D23B45">
      <w:pPr>
        <w:spacing w:after="240"/>
        <w:rPr>
          <w:rFonts w:ascii="Arial" w:hAnsi="Arial" w:cs="Arial"/>
          <w:bCs/>
          <w:lang w:val="es-CO"/>
        </w:rPr>
      </w:pPr>
      <w:r w:rsidRPr="007C28E3">
        <w:rPr>
          <w:rFonts w:ascii="Arial" w:hAnsi="Arial" w:cs="Arial"/>
          <w:bCs/>
          <w:lang w:val="es-CO"/>
        </w:rPr>
        <w:t>Ver Normograma Institucional (Proceso Gestión Jurídica)</w:t>
      </w:r>
    </w:p>
    <w:p w:rsidR="00982471" w:rsidRPr="007C28E3" w:rsidRDefault="005663AA" w:rsidP="00D23B45">
      <w:pPr>
        <w:pStyle w:val="Ttulo2"/>
        <w:spacing w:after="240"/>
        <w:ind w:left="0"/>
        <w:rPr>
          <w:sz w:val="24"/>
        </w:rPr>
      </w:pPr>
      <w:r w:rsidRPr="007C28E3">
        <w:rPr>
          <w:sz w:val="24"/>
        </w:rPr>
        <w:t xml:space="preserve">6. </w:t>
      </w:r>
      <w:r w:rsidR="00EB0E97" w:rsidRPr="007C28E3">
        <w:rPr>
          <w:sz w:val="24"/>
        </w:rPr>
        <w:t>DEFINICIONES</w:t>
      </w:r>
      <w:r w:rsidR="00C454C0" w:rsidRPr="007C28E3">
        <w:rPr>
          <w:sz w:val="24"/>
        </w:rPr>
        <w:t xml:space="preserve"> </w:t>
      </w:r>
    </w:p>
    <w:p w:rsidR="0057793D" w:rsidRPr="007C28E3" w:rsidRDefault="0057793D" w:rsidP="00D23B45">
      <w:pPr>
        <w:spacing w:after="240"/>
        <w:jc w:val="both"/>
        <w:rPr>
          <w:rFonts w:ascii="Arial" w:hAnsi="Arial" w:cs="Arial"/>
          <w:bCs/>
          <w:lang w:val="es-CO"/>
        </w:rPr>
      </w:pPr>
      <w:r w:rsidRPr="007C28E3">
        <w:rPr>
          <w:rFonts w:ascii="Arial" w:hAnsi="Arial" w:cs="Arial"/>
          <w:bCs/>
          <w:lang w:val="es-CO"/>
        </w:rPr>
        <w:t>CONTRATO: Son acuerdos de voluntades entre personas naturales, jurídicas o entidades púbicas, donde exista reciprocidad, las obligaciones del mismo deben tener relación directa con el objeto de la entidad ejecutora, señalado en la ley o en sus reglamentos. Implica una contraprestación económica.</w:t>
      </w:r>
    </w:p>
    <w:p w:rsidR="0057793D" w:rsidRPr="007C28E3" w:rsidRDefault="0057793D" w:rsidP="00D23B45">
      <w:pPr>
        <w:spacing w:after="240"/>
        <w:jc w:val="both"/>
        <w:rPr>
          <w:rFonts w:ascii="Arial" w:hAnsi="Arial" w:cs="Arial"/>
        </w:rPr>
      </w:pPr>
      <w:r w:rsidRPr="007C28E3">
        <w:rPr>
          <w:rFonts w:ascii="Arial" w:hAnsi="Arial" w:cs="Arial"/>
        </w:rPr>
        <w:t>REFERENTE TÉCNICO: Quien proyecta los estudios previos de cada Subdirección, Grupo u Oficina y que cuenta con el conocimiento del bien o servicio a contratar.</w:t>
      </w:r>
    </w:p>
    <w:p w:rsidR="00E37966" w:rsidRPr="007C28E3" w:rsidRDefault="007E6F42" w:rsidP="00D23B45">
      <w:pPr>
        <w:spacing w:after="240"/>
        <w:jc w:val="both"/>
        <w:rPr>
          <w:rFonts w:ascii="Arial" w:hAnsi="Arial" w:cs="Arial"/>
          <w:bCs/>
          <w:lang w:val="es-CO"/>
        </w:rPr>
      </w:pPr>
      <w:r w:rsidRPr="007C28E3">
        <w:rPr>
          <w:rFonts w:ascii="Arial" w:hAnsi="Arial" w:cs="Arial"/>
          <w:bCs/>
          <w:lang w:val="es-CO"/>
        </w:rPr>
        <w:t>SELECCIÓN ABREVIADA MENOR CUANTÍA: Modalidad mediante la cual se adquieren bienes y/o servicios a los cuales se le establecen unos criterios de ponderación que permitan establecer la of</w:t>
      </w:r>
      <w:r w:rsidR="007C28E3" w:rsidRPr="007C28E3">
        <w:rPr>
          <w:rFonts w:ascii="Arial" w:hAnsi="Arial" w:cs="Arial"/>
          <w:bCs/>
          <w:lang w:val="es-CO"/>
        </w:rPr>
        <w:t>erta más favorable para la enti</w:t>
      </w:r>
      <w:r w:rsidRPr="007C28E3">
        <w:rPr>
          <w:rFonts w:ascii="Arial" w:hAnsi="Arial" w:cs="Arial"/>
          <w:bCs/>
          <w:lang w:val="es-CO"/>
        </w:rPr>
        <w:t>dad, se debe tener en cuenta el valor del presupuesto anual de la entidad expresados en salarios mínimos conforme al literal B numeral 2 art 2 de la Ley 1150 de 2007.</w:t>
      </w:r>
    </w:p>
    <w:p w:rsidR="007E6F42" w:rsidRPr="007C28E3" w:rsidRDefault="007E6F42" w:rsidP="00D23B45">
      <w:pPr>
        <w:spacing w:after="240"/>
        <w:jc w:val="both"/>
        <w:rPr>
          <w:rFonts w:ascii="Arial" w:hAnsi="Arial" w:cs="Arial"/>
          <w:bCs/>
          <w:lang w:val="es-CO"/>
        </w:rPr>
      </w:pPr>
      <w:r w:rsidRPr="007C28E3">
        <w:rPr>
          <w:rFonts w:ascii="Arial" w:hAnsi="Arial" w:cs="Arial"/>
          <w:bCs/>
          <w:lang w:val="es-CO"/>
        </w:rPr>
        <w:lastRenderedPageBreak/>
        <w:t>SELECCIÓN ABREVIADA MENOR CUANTÍA – SUBASTA INVERSA: Modalidad mediante la cual se realiza la adquisición o suministro de bienes y servicios de características técnicas uniformes y de común utilización por partes de las entidades que corresponden a aquellos que poseen las mismas especificaciones técnicas, con independencia de su diseño o de sus descriptivas y comparten patrones de desempeño y calidad objetivamente definidos. Para la adquisición de estos bienes y servicios las entidades deberán, siempre que el reglamento as</w:t>
      </w:r>
      <w:r w:rsidR="0057793D" w:rsidRPr="007C28E3">
        <w:rPr>
          <w:rFonts w:ascii="Arial" w:hAnsi="Arial" w:cs="Arial"/>
          <w:bCs/>
          <w:lang w:val="es-CO"/>
        </w:rPr>
        <w:t>í lo señale, hacer uso de procedimientos de subasta inversa o de instrumento de compra por catálogo derivados de la celebración de acuerdos marco de precios o procedimientos de adquisición en bolsas de productos.</w:t>
      </w:r>
    </w:p>
    <w:p w:rsidR="00713803" w:rsidRPr="007C28E3" w:rsidRDefault="007E6F42" w:rsidP="00D23B45">
      <w:pPr>
        <w:spacing w:after="240"/>
        <w:jc w:val="both"/>
        <w:rPr>
          <w:rFonts w:ascii="Arial" w:hAnsi="Arial" w:cs="Arial"/>
          <w:bCs/>
          <w:lang w:val="es-CO"/>
        </w:rPr>
      </w:pPr>
      <w:r w:rsidRPr="007C28E3">
        <w:rPr>
          <w:rFonts w:ascii="Arial" w:hAnsi="Arial" w:cs="Arial"/>
          <w:bCs/>
          <w:lang w:val="es-CO"/>
        </w:rPr>
        <w:t>SELECCIÓN ABREVIADA COMO CONSECUENCIA DE UNA DECLARACIÓN DESIERTA DE UNA LICITACIÓN PÚBLICA</w:t>
      </w:r>
      <w:r w:rsidR="00713803" w:rsidRPr="007C28E3">
        <w:rPr>
          <w:rFonts w:ascii="Arial" w:hAnsi="Arial" w:cs="Arial"/>
          <w:bCs/>
          <w:lang w:val="es-CO"/>
        </w:rPr>
        <w:t xml:space="preserve">: </w:t>
      </w:r>
      <w:r w:rsidRPr="007C28E3">
        <w:rPr>
          <w:rFonts w:ascii="Arial" w:hAnsi="Arial" w:cs="Arial"/>
          <w:bCs/>
          <w:lang w:val="es-CO"/>
        </w:rPr>
        <w:t>La contratación cuyo proceso de licitación haya sido declarado desierto del proceso inicial.</w:t>
      </w:r>
    </w:p>
    <w:p w:rsidR="0057793D" w:rsidRPr="007C28E3" w:rsidRDefault="0057793D" w:rsidP="00713803">
      <w:pPr>
        <w:jc w:val="both"/>
        <w:rPr>
          <w:rFonts w:ascii="Arial" w:hAnsi="Arial" w:cs="Arial"/>
          <w:bCs/>
          <w:lang w:val="es-CO"/>
        </w:rPr>
      </w:pPr>
      <w:r w:rsidRPr="007C28E3">
        <w:rPr>
          <w:rFonts w:ascii="Arial" w:hAnsi="Arial" w:cs="Arial"/>
          <w:bCs/>
          <w:lang w:val="es-CO"/>
        </w:rPr>
        <w:t>SELECCIÓN ABREVIADA POR BOLSA DE PRODUCTOS: Modalidad mediante la cual se realiza la adquisición o suministro de bienes y servicios de características técnicas uniformes y de común utilización de las bolsas de productos legalmente constituidas.</w:t>
      </w:r>
    </w:p>
    <w:p w:rsidR="00B73802" w:rsidRPr="007C28E3" w:rsidRDefault="005663AA" w:rsidP="00D23B45">
      <w:pPr>
        <w:pStyle w:val="Ttulo2"/>
        <w:spacing w:before="240" w:after="240"/>
        <w:ind w:left="0"/>
        <w:rPr>
          <w:sz w:val="24"/>
        </w:rPr>
      </w:pPr>
      <w:r w:rsidRPr="007C28E3">
        <w:rPr>
          <w:sz w:val="24"/>
        </w:rPr>
        <w:t xml:space="preserve">7. </w:t>
      </w:r>
      <w:r w:rsidR="00B73802" w:rsidRPr="007C28E3">
        <w:rPr>
          <w:sz w:val="24"/>
        </w:rPr>
        <w:t>ACTIVIDADES</w:t>
      </w:r>
    </w:p>
    <w:tbl>
      <w:tblPr>
        <w:tblStyle w:val="Tablaconcuadrcula1clara"/>
        <w:tblW w:w="5000" w:type="pct"/>
        <w:tblLook w:val="06A0" w:firstRow="1" w:lastRow="0" w:firstColumn="1" w:lastColumn="0" w:noHBand="1" w:noVBand="1"/>
      </w:tblPr>
      <w:tblGrid>
        <w:gridCol w:w="563"/>
        <w:gridCol w:w="4207"/>
        <w:gridCol w:w="2699"/>
        <w:gridCol w:w="2490"/>
        <w:gridCol w:w="2283"/>
        <w:gridCol w:w="2490"/>
      </w:tblGrid>
      <w:tr w:rsidR="00CB652B" w:rsidRPr="007C28E3" w:rsidTr="00CB6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 w:type="pct"/>
            <w:vAlign w:val="center"/>
          </w:tcPr>
          <w:p w:rsidR="00CB652B" w:rsidRPr="007C28E3" w:rsidRDefault="00CB652B" w:rsidP="00DD1B91">
            <w:pPr>
              <w:jc w:val="center"/>
              <w:rPr>
                <w:rFonts w:ascii="Arial" w:hAnsi="Arial" w:cs="Arial"/>
                <w:b w:val="0"/>
              </w:rPr>
            </w:pPr>
            <w:r w:rsidRPr="007C28E3">
              <w:rPr>
                <w:rFonts w:ascii="Arial" w:hAnsi="Arial" w:cs="Arial"/>
              </w:rPr>
              <w:t>#</w:t>
            </w:r>
          </w:p>
        </w:tc>
        <w:tc>
          <w:tcPr>
            <w:tcW w:w="1428"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Descripción de la Actividad</w:t>
            </w:r>
          </w:p>
        </w:tc>
        <w:tc>
          <w:tcPr>
            <w:tcW w:w="916"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Responsable</w:t>
            </w:r>
          </w:p>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(Cargo)</w:t>
            </w:r>
          </w:p>
        </w:tc>
        <w:tc>
          <w:tcPr>
            <w:tcW w:w="84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Dependencia</w:t>
            </w:r>
          </w:p>
        </w:tc>
        <w:tc>
          <w:tcPr>
            <w:tcW w:w="77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Control</w:t>
            </w:r>
          </w:p>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(Si Aplica)</w:t>
            </w:r>
          </w:p>
        </w:tc>
        <w:tc>
          <w:tcPr>
            <w:tcW w:w="84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Registros</w:t>
            </w:r>
          </w:p>
        </w:tc>
      </w:tr>
      <w:tr w:rsidR="000948D3" w:rsidRPr="007C28E3" w:rsidTr="00CB652B">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1</w:t>
            </w:r>
          </w:p>
        </w:tc>
        <w:tc>
          <w:tcPr>
            <w:tcW w:w="1428" w:type="pct"/>
            <w:vAlign w:val="center"/>
          </w:tcPr>
          <w:p w:rsidR="003976DB"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Consolidar las necesidades de la entidad en el Plan Anual de Adquisiciones</w:t>
            </w:r>
          </w:p>
        </w:tc>
        <w:tc>
          <w:tcPr>
            <w:tcW w:w="916"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Jefe Oficina Asesora de Planeación</w:t>
            </w:r>
          </w:p>
        </w:tc>
        <w:tc>
          <w:tcPr>
            <w:tcW w:w="845" w:type="pct"/>
            <w:vAlign w:val="center"/>
          </w:tcPr>
          <w:p w:rsidR="00F14E7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de Planeación</w:t>
            </w:r>
          </w:p>
        </w:tc>
        <w:tc>
          <w:tcPr>
            <w:tcW w:w="775"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PAA publicado en el SECOP II</w:t>
            </w:r>
          </w:p>
        </w:tc>
        <w:tc>
          <w:tcPr>
            <w:tcW w:w="845"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Plan Anu</w:t>
            </w:r>
            <w:r w:rsidR="00BE2D94" w:rsidRPr="007C28E3">
              <w:rPr>
                <w:rFonts w:ascii="Arial" w:hAnsi="Arial" w:cs="Arial"/>
              </w:rPr>
              <w:t>a</w:t>
            </w:r>
            <w:r w:rsidRPr="007C28E3">
              <w:rPr>
                <w:rFonts w:ascii="Arial" w:hAnsi="Arial" w:cs="Arial"/>
              </w:rPr>
              <w:t>l de Adquisiciones</w:t>
            </w:r>
          </w:p>
        </w:tc>
      </w:tr>
      <w:tr w:rsidR="000948D3" w:rsidRPr="007C28E3" w:rsidTr="00DD1B91">
        <w:trPr>
          <w:trHeight w:val="380"/>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2</w:t>
            </w:r>
          </w:p>
        </w:tc>
        <w:tc>
          <w:tcPr>
            <w:tcW w:w="1428" w:type="pct"/>
            <w:vAlign w:val="center"/>
          </w:tcPr>
          <w:p w:rsidR="003976DB"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Verificar el objeto a contratar en el Plan de Adquisiciones para la vigencia, publicado en la plataforma transaccional SECOP II</w:t>
            </w:r>
          </w:p>
        </w:tc>
        <w:tc>
          <w:tcPr>
            <w:tcW w:w="916"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BE2D9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948D3" w:rsidRPr="007C28E3" w:rsidTr="00DD1B91">
        <w:trPr>
          <w:trHeight w:val="70"/>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3</w:t>
            </w:r>
          </w:p>
        </w:tc>
        <w:tc>
          <w:tcPr>
            <w:tcW w:w="1428" w:type="pct"/>
            <w:vAlign w:val="center"/>
          </w:tcPr>
          <w:p w:rsidR="00BE2D94" w:rsidRPr="007C28E3" w:rsidRDefault="00BE2D94" w:rsidP="00DD1B91">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7C28E3">
              <w:rPr>
                <w:color w:val="auto"/>
              </w:rPr>
              <w:t>Solicitar c</w:t>
            </w:r>
            <w:r w:rsidR="005F3D8F" w:rsidRPr="007C28E3">
              <w:rPr>
                <w:color w:val="auto"/>
              </w:rPr>
              <w:t xml:space="preserve">onstancia de </w:t>
            </w:r>
            <w:r w:rsidRPr="007C28E3">
              <w:rPr>
                <w:color w:val="auto"/>
              </w:rPr>
              <w:t>existencia personal disponible o de certificación de existencia de bienes.</w:t>
            </w:r>
          </w:p>
        </w:tc>
        <w:tc>
          <w:tcPr>
            <w:tcW w:w="916"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BE2D9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DD1B91">
        <w:trPr>
          <w:trHeight w:val="279"/>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4</w:t>
            </w:r>
          </w:p>
        </w:tc>
        <w:tc>
          <w:tcPr>
            <w:tcW w:w="1428" w:type="pct"/>
            <w:vAlign w:val="center"/>
          </w:tcPr>
          <w:p w:rsidR="003976DB"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Expedir certificación de existencia de bienes</w:t>
            </w:r>
            <w:r w:rsidR="00E76D11" w:rsidRPr="007C28E3">
              <w:rPr>
                <w:rFonts w:ascii="Arial" w:hAnsi="Arial" w:cs="Arial"/>
              </w:rPr>
              <w:t xml:space="preserve"> o de existencia de personal</w:t>
            </w:r>
            <w:r w:rsidRPr="007C28E3">
              <w:rPr>
                <w:rFonts w:ascii="Arial" w:hAnsi="Arial" w:cs="Arial"/>
              </w:rPr>
              <w:t>.</w:t>
            </w:r>
          </w:p>
        </w:tc>
        <w:tc>
          <w:tcPr>
            <w:tcW w:w="916"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Coordinadora Administrativa y Financiera.</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Administrativa y Financiera</w:t>
            </w:r>
          </w:p>
        </w:tc>
        <w:tc>
          <w:tcPr>
            <w:tcW w:w="775" w:type="pct"/>
            <w:vAlign w:val="center"/>
          </w:tcPr>
          <w:p w:rsidR="003976DB"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w:t>
            </w:r>
            <w:r w:rsidR="000948D3" w:rsidRPr="007C28E3">
              <w:rPr>
                <w:rFonts w:ascii="Arial" w:hAnsi="Arial" w:cs="Arial"/>
              </w:rPr>
              <w:t>ertificación de existencia</w:t>
            </w:r>
            <w:r w:rsidRPr="007C28E3">
              <w:rPr>
                <w:rFonts w:ascii="Arial" w:hAnsi="Arial" w:cs="Arial"/>
              </w:rPr>
              <w:t xml:space="preserve"> de</w:t>
            </w:r>
            <w:r w:rsidR="007C28E3" w:rsidRPr="007C28E3">
              <w:rPr>
                <w:rFonts w:ascii="Arial" w:hAnsi="Arial" w:cs="Arial"/>
              </w:rPr>
              <w:t xml:space="preserve"> </w:t>
            </w:r>
            <w:r w:rsidR="000948D3" w:rsidRPr="007C28E3">
              <w:rPr>
                <w:rFonts w:ascii="Arial" w:hAnsi="Arial" w:cs="Arial"/>
              </w:rPr>
              <w:t>bienes</w:t>
            </w:r>
          </w:p>
        </w:tc>
        <w:tc>
          <w:tcPr>
            <w:tcW w:w="845" w:type="pct"/>
            <w:vAlign w:val="center"/>
          </w:tcPr>
          <w:p w:rsidR="00BE2D94"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w:t>
            </w:r>
            <w:r w:rsidR="005F3D8F" w:rsidRPr="007C28E3">
              <w:rPr>
                <w:rFonts w:ascii="Arial" w:hAnsi="Arial" w:cs="Arial"/>
              </w:rPr>
              <w:t>ertificación de existencia de bienes</w:t>
            </w:r>
            <w:r w:rsidR="00E76D11" w:rsidRPr="007C28E3">
              <w:rPr>
                <w:rFonts w:ascii="Arial" w:hAnsi="Arial" w:cs="Arial"/>
              </w:rPr>
              <w:t xml:space="preserve"> o de personal</w:t>
            </w:r>
            <w:r w:rsidR="005F3D8F" w:rsidRPr="007C28E3">
              <w:rPr>
                <w:rFonts w:ascii="Arial" w:hAnsi="Arial" w:cs="Arial"/>
              </w:rPr>
              <w:t>.</w:t>
            </w:r>
          </w:p>
        </w:tc>
      </w:tr>
      <w:tr w:rsidR="000948D3" w:rsidRPr="007C28E3" w:rsidTr="00DD1B91">
        <w:trPr>
          <w:trHeight w:val="433"/>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5</w:t>
            </w:r>
          </w:p>
        </w:tc>
        <w:tc>
          <w:tcPr>
            <w:tcW w:w="1428" w:type="pct"/>
            <w:vAlign w:val="center"/>
          </w:tcPr>
          <w:p w:rsidR="003976DB"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Elaborar Estudios Previos y</w:t>
            </w:r>
            <w:r w:rsidR="00DC09BC" w:rsidRPr="007C28E3">
              <w:rPr>
                <w:rFonts w:ascii="Arial" w:hAnsi="Arial" w:cs="Arial"/>
              </w:rPr>
              <w:t xml:space="preserve"> del Sector y</w:t>
            </w:r>
            <w:r w:rsidRPr="007C28E3">
              <w:rPr>
                <w:rFonts w:ascii="Arial" w:hAnsi="Arial" w:cs="Arial"/>
              </w:rPr>
              <w:t xml:space="preserve"> remitirlos a la Oficina Asesora Jurídica para revisión.</w:t>
            </w:r>
          </w:p>
        </w:tc>
        <w:tc>
          <w:tcPr>
            <w:tcW w:w="916"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DD1B91">
        <w:trPr>
          <w:trHeight w:val="587"/>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6</w:t>
            </w:r>
          </w:p>
        </w:tc>
        <w:tc>
          <w:tcPr>
            <w:tcW w:w="1428"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Dar visto bueno y enviar versión final de los estudios </w:t>
            </w:r>
            <w:r w:rsidR="00DC09BC" w:rsidRPr="007C28E3">
              <w:rPr>
                <w:rFonts w:ascii="Arial" w:hAnsi="Arial" w:cs="Arial"/>
              </w:rPr>
              <w:t>previos y del sector junto con</w:t>
            </w:r>
            <w:r w:rsidR="00E76D11" w:rsidRPr="007C28E3">
              <w:rPr>
                <w:rFonts w:ascii="Arial" w:hAnsi="Arial" w:cs="Arial"/>
              </w:rPr>
              <w:t xml:space="preserve"> sus anexos.</w:t>
            </w:r>
          </w:p>
        </w:tc>
        <w:tc>
          <w:tcPr>
            <w:tcW w:w="916"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3976DB"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DC09BC"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Estudio previo</w:t>
            </w:r>
            <w:r w:rsidR="00DC09BC" w:rsidRPr="007C28E3">
              <w:rPr>
                <w:rFonts w:ascii="Arial" w:hAnsi="Arial" w:cs="Arial"/>
              </w:rPr>
              <w:t xml:space="preserve"> y del sector</w:t>
            </w:r>
            <w:r w:rsidRPr="007C28E3">
              <w:rPr>
                <w:rFonts w:ascii="Arial" w:hAnsi="Arial" w:cs="Arial"/>
              </w:rPr>
              <w:t xml:space="preserve"> versión final</w:t>
            </w:r>
          </w:p>
        </w:tc>
        <w:tc>
          <w:tcPr>
            <w:tcW w:w="845"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CB652B">
        <w:trPr>
          <w:trHeight w:val="399"/>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DC09BC" w:rsidP="00DD1B91">
            <w:pPr>
              <w:jc w:val="center"/>
              <w:rPr>
                <w:rFonts w:ascii="Arial" w:hAnsi="Arial" w:cs="Arial"/>
              </w:rPr>
            </w:pPr>
            <w:r w:rsidRPr="007C28E3">
              <w:rPr>
                <w:rFonts w:ascii="Arial" w:hAnsi="Arial" w:cs="Arial"/>
              </w:rPr>
              <w:t>7</w:t>
            </w:r>
          </w:p>
        </w:tc>
        <w:tc>
          <w:tcPr>
            <w:tcW w:w="1428"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Solicitar el Certificado de Disponibilidad Presupuestal - CDP</w:t>
            </w:r>
          </w:p>
        </w:tc>
        <w:tc>
          <w:tcPr>
            <w:tcW w:w="916"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de solicitud CDP</w:t>
            </w:r>
          </w:p>
          <w:p w:rsidR="00591156"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SG-110-FM- 036</w:t>
            </w:r>
          </w:p>
        </w:tc>
      </w:tr>
      <w:tr w:rsidR="000948D3" w:rsidRPr="007C28E3" w:rsidTr="00DD1B91">
        <w:trPr>
          <w:trHeight w:val="331"/>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DC09BC" w:rsidP="00DD1B91">
            <w:pPr>
              <w:jc w:val="center"/>
              <w:rPr>
                <w:rFonts w:ascii="Arial" w:hAnsi="Arial" w:cs="Arial"/>
              </w:rPr>
            </w:pPr>
            <w:r w:rsidRPr="007C28E3">
              <w:rPr>
                <w:rFonts w:ascii="Arial" w:hAnsi="Arial" w:cs="Arial"/>
              </w:rPr>
              <w:t>8</w:t>
            </w:r>
          </w:p>
        </w:tc>
        <w:tc>
          <w:tcPr>
            <w:tcW w:w="1428"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Expedir del Certificado de Disponibilidad Presupuestal - CDP</w:t>
            </w:r>
          </w:p>
        </w:tc>
        <w:tc>
          <w:tcPr>
            <w:tcW w:w="916"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Funcionario encargado de la Oficina Administrativa y Financiera</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Secretaria General</w:t>
            </w:r>
          </w:p>
        </w:tc>
        <w:tc>
          <w:tcPr>
            <w:tcW w:w="775" w:type="pct"/>
            <w:vAlign w:val="center"/>
          </w:tcPr>
          <w:p w:rsidR="003976DB"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Certificado de Disponibilidad Presupuestal.</w:t>
            </w:r>
          </w:p>
        </w:tc>
        <w:tc>
          <w:tcPr>
            <w:tcW w:w="845"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CDP generado por el sistema SIIF Nación.</w:t>
            </w:r>
          </w:p>
        </w:tc>
      </w:tr>
      <w:tr w:rsidR="000948D3" w:rsidRPr="007C28E3" w:rsidTr="00CB652B">
        <w:trPr>
          <w:trHeight w:val="855"/>
        </w:trPr>
        <w:tc>
          <w:tcPr>
            <w:cnfStyle w:val="001000000000" w:firstRow="0" w:lastRow="0" w:firstColumn="1" w:lastColumn="0" w:oddVBand="0" w:evenVBand="0" w:oddHBand="0" w:evenHBand="0" w:firstRowFirstColumn="0" w:firstRowLastColumn="0" w:lastRowFirstColumn="0" w:lastRowLastColumn="0"/>
            <w:tcW w:w="191" w:type="pct"/>
            <w:vAlign w:val="center"/>
          </w:tcPr>
          <w:p w:rsidR="000948D3" w:rsidRPr="007C28E3" w:rsidRDefault="00DC09BC" w:rsidP="00DD1B91">
            <w:pPr>
              <w:jc w:val="center"/>
              <w:rPr>
                <w:rFonts w:ascii="Arial" w:hAnsi="Arial" w:cs="Arial"/>
              </w:rPr>
            </w:pPr>
            <w:r w:rsidRPr="007C28E3">
              <w:rPr>
                <w:rFonts w:ascii="Arial" w:hAnsi="Arial" w:cs="Arial"/>
              </w:rPr>
              <w:t>9</w:t>
            </w:r>
          </w:p>
        </w:tc>
        <w:tc>
          <w:tcPr>
            <w:tcW w:w="1428"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Reunir todos los documentos según la lista de chequeo</w:t>
            </w:r>
          </w:p>
        </w:tc>
        <w:tc>
          <w:tcPr>
            <w:tcW w:w="916"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0948D3"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0948D3"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OAJ-102-FM-</w:t>
            </w:r>
            <w:r w:rsidR="006672D0" w:rsidRPr="007C28E3">
              <w:rPr>
                <w:rFonts w:ascii="Arial" w:hAnsi="Arial" w:cs="Arial"/>
              </w:rPr>
              <w:t>369</w:t>
            </w:r>
          </w:p>
        </w:tc>
      </w:tr>
      <w:tr w:rsidR="000948D3"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0948D3" w:rsidRPr="007C28E3" w:rsidRDefault="000948D3" w:rsidP="00DD1B91">
            <w:pPr>
              <w:jc w:val="center"/>
              <w:rPr>
                <w:rFonts w:ascii="Arial" w:hAnsi="Arial" w:cs="Arial"/>
              </w:rPr>
            </w:pPr>
            <w:r w:rsidRPr="007C28E3">
              <w:rPr>
                <w:rFonts w:ascii="Arial" w:hAnsi="Arial" w:cs="Arial"/>
              </w:rPr>
              <w:t>1</w:t>
            </w:r>
            <w:r w:rsidR="00DC09BC" w:rsidRPr="007C28E3">
              <w:rPr>
                <w:rFonts w:ascii="Arial" w:hAnsi="Arial" w:cs="Arial"/>
              </w:rPr>
              <w:t>0</w:t>
            </w:r>
          </w:p>
        </w:tc>
        <w:tc>
          <w:tcPr>
            <w:tcW w:w="1428" w:type="pct"/>
            <w:vAlign w:val="center"/>
          </w:tcPr>
          <w:p w:rsidR="005257C7"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Diligenciar </w:t>
            </w:r>
            <w:r w:rsidR="00E76D11" w:rsidRPr="007C28E3">
              <w:rPr>
                <w:rFonts w:ascii="Arial" w:hAnsi="Arial" w:cs="Arial"/>
              </w:rPr>
              <w:t>el</w:t>
            </w:r>
            <w:r w:rsidRPr="007C28E3">
              <w:rPr>
                <w:rFonts w:ascii="Arial" w:hAnsi="Arial" w:cs="Arial"/>
              </w:rPr>
              <w:t xml:space="preserve"> memoran</w:t>
            </w:r>
            <w:r w:rsidR="00E76D11" w:rsidRPr="007C28E3">
              <w:rPr>
                <w:rFonts w:ascii="Arial" w:hAnsi="Arial" w:cs="Arial"/>
              </w:rPr>
              <w:t xml:space="preserve">do </w:t>
            </w:r>
            <w:r w:rsidRPr="007C28E3">
              <w:rPr>
                <w:rFonts w:ascii="Arial" w:hAnsi="Arial" w:cs="Arial"/>
              </w:rPr>
              <w:t xml:space="preserve">de solicitud de contratación </w:t>
            </w:r>
            <w:r w:rsidR="00E76D11" w:rsidRPr="007C28E3">
              <w:rPr>
                <w:rFonts w:ascii="Arial" w:hAnsi="Arial" w:cs="Arial"/>
              </w:rPr>
              <w:t>dirigido al ordenador del gasto.</w:t>
            </w:r>
          </w:p>
        </w:tc>
        <w:tc>
          <w:tcPr>
            <w:tcW w:w="916" w:type="pct"/>
            <w:vAlign w:val="center"/>
          </w:tcPr>
          <w:p w:rsidR="000948D3" w:rsidRPr="007C28E3" w:rsidRDefault="0063602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0948D3"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 de solicitud de contratación</w:t>
            </w:r>
          </w:p>
        </w:tc>
        <w:tc>
          <w:tcPr>
            <w:tcW w:w="84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D11"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E76D11" w:rsidRPr="007C28E3" w:rsidRDefault="00E76D11" w:rsidP="00DD1B91">
            <w:pPr>
              <w:jc w:val="center"/>
              <w:rPr>
                <w:rFonts w:ascii="Arial" w:hAnsi="Arial" w:cs="Arial"/>
              </w:rPr>
            </w:pPr>
            <w:r w:rsidRPr="007C28E3">
              <w:rPr>
                <w:rFonts w:ascii="Arial" w:hAnsi="Arial" w:cs="Arial"/>
              </w:rPr>
              <w:t>11</w:t>
            </w:r>
          </w:p>
        </w:tc>
        <w:tc>
          <w:tcPr>
            <w:tcW w:w="1428"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Diligenciar el memorando de aprobación apertura proceso</w:t>
            </w:r>
            <w:r w:rsidR="00477FE6" w:rsidRPr="007C28E3">
              <w:rPr>
                <w:rFonts w:ascii="Arial" w:hAnsi="Arial" w:cs="Arial"/>
              </w:rPr>
              <w:t xml:space="preserve"> dirigido al Jefe de la OAJ</w:t>
            </w:r>
          </w:p>
        </w:tc>
        <w:tc>
          <w:tcPr>
            <w:tcW w:w="916"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Secretaria/o de Dirección General.</w:t>
            </w:r>
          </w:p>
        </w:tc>
        <w:tc>
          <w:tcPr>
            <w:tcW w:w="845" w:type="pct"/>
            <w:vAlign w:val="center"/>
          </w:tcPr>
          <w:p w:rsidR="00E76D11"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Secretaria </w:t>
            </w:r>
            <w:r w:rsidR="007C28E3" w:rsidRPr="007C28E3">
              <w:rPr>
                <w:rFonts w:ascii="Arial" w:hAnsi="Arial" w:cs="Arial"/>
              </w:rPr>
              <w:t>General</w:t>
            </w:r>
            <w:r w:rsidRPr="007C28E3">
              <w:rPr>
                <w:rFonts w:ascii="Arial" w:hAnsi="Arial" w:cs="Arial"/>
              </w:rPr>
              <w:t xml:space="preserve"> / Dirección</w:t>
            </w:r>
          </w:p>
        </w:tc>
        <w:tc>
          <w:tcPr>
            <w:tcW w:w="77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w:t>
            </w:r>
          </w:p>
        </w:tc>
        <w:tc>
          <w:tcPr>
            <w:tcW w:w="84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C09BC"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DC09BC" w:rsidRPr="007C28E3" w:rsidRDefault="00DC09BC" w:rsidP="00DD1B91">
            <w:pPr>
              <w:jc w:val="center"/>
              <w:rPr>
                <w:rFonts w:ascii="Arial" w:hAnsi="Arial" w:cs="Arial"/>
              </w:rPr>
            </w:pPr>
            <w:r w:rsidRPr="007C28E3">
              <w:rPr>
                <w:rFonts w:ascii="Arial" w:hAnsi="Arial" w:cs="Arial"/>
              </w:rPr>
              <w:t>1</w:t>
            </w:r>
            <w:r w:rsidR="009E5323" w:rsidRPr="007C28E3">
              <w:rPr>
                <w:rFonts w:ascii="Arial" w:hAnsi="Arial" w:cs="Arial"/>
              </w:rPr>
              <w:t>2</w:t>
            </w:r>
          </w:p>
        </w:tc>
        <w:tc>
          <w:tcPr>
            <w:tcW w:w="1428" w:type="pct"/>
            <w:vAlign w:val="center"/>
          </w:tcPr>
          <w:p w:rsidR="00DC09BC"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Elaborar </w:t>
            </w:r>
            <w:r w:rsidR="003B54A9" w:rsidRPr="007C28E3">
              <w:rPr>
                <w:rFonts w:ascii="Arial" w:hAnsi="Arial" w:cs="Arial"/>
              </w:rPr>
              <w:t xml:space="preserve">aviso de convocatoria pública, proyecto de </w:t>
            </w:r>
            <w:r w:rsidR="00BB76C6" w:rsidRPr="007C28E3">
              <w:rPr>
                <w:rFonts w:ascii="Arial" w:hAnsi="Arial" w:cs="Arial"/>
              </w:rPr>
              <w:t>pliego de condiciones e invitación a Mypime.</w:t>
            </w:r>
          </w:p>
        </w:tc>
        <w:tc>
          <w:tcPr>
            <w:tcW w:w="916" w:type="pct"/>
            <w:vAlign w:val="center"/>
          </w:tcPr>
          <w:p w:rsidR="00DC09BC"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DC09BC"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AD648F" w:rsidRPr="007C28E3" w:rsidRDefault="00AD64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Aviso de convocatoria</w:t>
            </w:r>
          </w:p>
          <w:p w:rsidR="00DC09BC" w:rsidRPr="007C28E3" w:rsidRDefault="00AD64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Proyecto de pliego de condiciones</w:t>
            </w:r>
          </w:p>
        </w:tc>
        <w:tc>
          <w:tcPr>
            <w:tcW w:w="84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w:t>
            </w:r>
            <w:r w:rsidR="00AD648F" w:rsidRPr="007C28E3">
              <w:rPr>
                <w:rFonts w:ascii="Arial" w:hAnsi="Arial" w:cs="Arial"/>
              </w:rPr>
              <w:t>s</w:t>
            </w:r>
          </w:p>
          <w:p w:rsidR="00DC09BC"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OAJ-102-FM-064</w:t>
            </w:r>
          </w:p>
          <w:p w:rsidR="0049097E"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097E"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OAJ-102-FM-175</w:t>
            </w:r>
          </w:p>
        </w:tc>
      </w:tr>
      <w:tr w:rsidR="005257C7"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5257C7" w:rsidRPr="007C28E3" w:rsidRDefault="005257C7" w:rsidP="00DD1B91">
            <w:pPr>
              <w:jc w:val="center"/>
              <w:rPr>
                <w:rFonts w:ascii="Arial" w:hAnsi="Arial" w:cs="Arial"/>
              </w:rPr>
            </w:pPr>
            <w:r w:rsidRPr="007C28E3">
              <w:rPr>
                <w:rFonts w:ascii="Arial" w:hAnsi="Arial" w:cs="Arial"/>
              </w:rPr>
              <w:t>1</w:t>
            </w:r>
            <w:r w:rsidR="009E5323" w:rsidRPr="007C28E3">
              <w:rPr>
                <w:rFonts w:ascii="Arial" w:hAnsi="Arial" w:cs="Arial"/>
              </w:rPr>
              <w:t>3</w:t>
            </w:r>
          </w:p>
        </w:tc>
        <w:tc>
          <w:tcPr>
            <w:tcW w:w="1428" w:type="pct"/>
            <w:vAlign w:val="center"/>
          </w:tcPr>
          <w:p w:rsidR="005257C7"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Dar inicio al proceso en la plataforma transaccional SECOP II</w:t>
            </w:r>
            <w:r w:rsidR="009E5323" w:rsidRPr="007C28E3">
              <w:rPr>
                <w:rFonts w:ascii="Arial" w:hAnsi="Arial" w:cs="Arial"/>
              </w:rPr>
              <w:t xml:space="preserve"> y enviar por correo electrónico notificación de conformación del comité evaluador.</w:t>
            </w:r>
          </w:p>
        </w:tc>
        <w:tc>
          <w:tcPr>
            <w:tcW w:w="916" w:type="pct"/>
            <w:vAlign w:val="center"/>
          </w:tcPr>
          <w:p w:rsidR="005257C7"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5257C7"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E5323"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p w:rsidR="005257C7" w:rsidRPr="007C28E3" w:rsidRDefault="009E532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c>
          <w:tcPr>
            <w:tcW w:w="845" w:type="pct"/>
            <w:vAlign w:val="center"/>
          </w:tcPr>
          <w:p w:rsidR="005257C7"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098E"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76098E" w:rsidRPr="007C28E3" w:rsidRDefault="0076098E" w:rsidP="00DD1B91">
            <w:pPr>
              <w:jc w:val="center"/>
              <w:rPr>
                <w:rFonts w:ascii="Arial" w:hAnsi="Arial" w:cs="Arial"/>
              </w:rPr>
            </w:pPr>
            <w:r w:rsidRPr="007C28E3">
              <w:rPr>
                <w:rFonts w:ascii="Arial" w:hAnsi="Arial" w:cs="Arial"/>
              </w:rPr>
              <w:t>13</w:t>
            </w:r>
          </w:p>
        </w:tc>
        <w:tc>
          <w:tcPr>
            <w:tcW w:w="1428"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Recibir y dar respuesta a las observaciones</w:t>
            </w:r>
            <w:r w:rsidR="007C28E3" w:rsidRPr="007C28E3">
              <w:rPr>
                <w:rFonts w:ascii="Arial" w:hAnsi="Arial" w:cs="Arial"/>
              </w:rPr>
              <w:t xml:space="preserve"> </w:t>
            </w:r>
            <w:r w:rsidRPr="007C28E3">
              <w:rPr>
                <w:rFonts w:ascii="Arial" w:hAnsi="Arial" w:cs="Arial"/>
              </w:rPr>
              <w:t>realizadas (según el</w:t>
            </w:r>
            <w:r w:rsidR="00BB76C6" w:rsidRPr="007C28E3">
              <w:rPr>
                <w:rFonts w:ascii="Arial" w:hAnsi="Arial" w:cs="Arial"/>
              </w:rPr>
              <w:t xml:space="preserve"> caso jurídicas y/o técnicas</w:t>
            </w:r>
            <w:r w:rsidR="006956E6" w:rsidRPr="007C28E3">
              <w:rPr>
                <w:rFonts w:ascii="Arial" w:hAnsi="Arial" w:cs="Arial"/>
              </w:rPr>
              <w:t>, financieras</w:t>
            </w:r>
            <w:r w:rsidR="00BB76C6" w:rsidRPr="007C28E3">
              <w:rPr>
                <w:rFonts w:ascii="Arial" w:hAnsi="Arial" w:cs="Arial"/>
              </w:rPr>
              <w:t xml:space="preserve">) al proyecto de pliego de condiciones </w:t>
            </w:r>
            <w:r w:rsidRPr="007C28E3">
              <w:rPr>
                <w:rFonts w:ascii="Arial" w:hAnsi="Arial" w:cs="Arial"/>
              </w:rPr>
              <w:t>a través de la plataforma transaccional del SECOP II.</w:t>
            </w:r>
          </w:p>
        </w:tc>
        <w:tc>
          <w:tcPr>
            <w:tcW w:w="916"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el pliego</w:t>
            </w:r>
          </w:p>
        </w:tc>
        <w:tc>
          <w:tcPr>
            <w:tcW w:w="845" w:type="pct"/>
            <w:vAlign w:val="center"/>
          </w:tcPr>
          <w:p w:rsidR="0076098E"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565B"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28565B" w:rsidRPr="007C28E3" w:rsidRDefault="0028565B" w:rsidP="00DD1B91">
            <w:pPr>
              <w:jc w:val="center"/>
              <w:rPr>
                <w:rFonts w:ascii="Arial" w:hAnsi="Arial" w:cs="Arial"/>
              </w:rPr>
            </w:pPr>
            <w:r w:rsidRPr="007C28E3">
              <w:rPr>
                <w:rFonts w:ascii="Arial" w:hAnsi="Arial" w:cs="Arial"/>
              </w:rPr>
              <w:lastRenderedPageBreak/>
              <w:t>1</w:t>
            </w:r>
            <w:r w:rsidR="0076098E" w:rsidRPr="007C28E3">
              <w:rPr>
                <w:rFonts w:ascii="Arial" w:hAnsi="Arial" w:cs="Arial"/>
              </w:rPr>
              <w:t>4</w:t>
            </w:r>
          </w:p>
        </w:tc>
        <w:tc>
          <w:tcPr>
            <w:tcW w:w="1428" w:type="pct"/>
            <w:vAlign w:val="center"/>
          </w:tcPr>
          <w:p w:rsidR="00AB4793" w:rsidRPr="007C28E3" w:rsidRDefault="0076098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Realizar la adenda en la plataforma </w:t>
            </w:r>
            <w:r w:rsidR="001C2BBB" w:rsidRPr="007C28E3">
              <w:rPr>
                <w:rFonts w:eastAsia="Times New Roman"/>
                <w:sz w:val="24"/>
                <w:szCs w:val="24"/>
                <w:lang w:val="es-ES" w:eastAsia="es-ES" w:bidi="ar-SA"/>
              </w:rPr>
              <w:t>del SECOP II (Si aplica)</w:t>
            </w:r>
            <w:r w:rsidR="007C28E3" w:rsidRPr="007C28E3">
              <w:rPr>
                <w:rFonts w:eastAsia="Times New Roman"/>
                <w:sz w:val="24"/>
                <w:szCs w:val="24"/>
                <w:lang w:val="es-ES" w:eastAsia="es-ES" w:bidi="ar-SA"/>
              </w:rPr>
              <w:t xml:space="preserve"> </w:t>
            </w:r>
          </w:p>
        </w:tc>
        <w:tc>
          <w:tcPr>
            <w:tcW w:w="916" w:type="pct"/>
            <w:vAlign w:val="center"/>
          </w:tcPr>
          <w:p w:rsidR="0028565B" w:rsidRPr="007C28E3" w:rsidRDefault="001C2BB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28565B"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28565B" w:rsidRPr="007C28E3" w:rsidRDefault="001C2BBB"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Plataforma del SECOP II</w:t>
            </w:r>
          </w:p>
        </w:tc>
        <w:tc>
          <w:tcPr>
            <w:tcW w:w="845" w:type="pct"/>
            <w:vAlign w:val="center"/>
          </w:tcPr>
          <w:p w:rsidR="0028565B"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6956E6"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6956E6" w:rsidRPr="007C28E3" w:rsidRDefault="006956E6" w:rsidP="00DD1B91">
            <w:pPr>
              <w:jc w:val="center"/>
              <w:rPr>
                <w:rFonts w:ascii="Arial" w:hAnsi="Arial" w:cs="Arial"/>
              </w:rPr>
            </w:pPr>
            <w:r w:rsidRPr="007C28E3">
              <w:rPr>
                <w:rFonts w:ascii="Arial" w:hAnsi="Arial" w:cs="Arial"/>
              </w:rPr>
              <w:t>15</w:t>
            </w:r>
          </w:p>
        </w:tc>
        <w:tc>
          <w:tcPr>
            <w:tcW w:w="1428" w:type="pct"/>
            <w:vAlign w:val="center"/>
          </w:tcPr>
          <w:p w:rsidR="006956E6" w:rsidRPr="007C28E3" w:rsidRDefault="006956E6"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Evaluación de Mipymes y limitar el proceso en caso de ser viable </w:t>
            </w:r>
            <w:r w:rsidR="00962DB8" w:rsidRPr="007C28E3">
              <w:rPr>
                <w:rFonts w:eastAsia="Times New Roman"/>
                <w:sz w:val="24"/>
                <w:szCs w:val="24"/>
                <w:lang w:val="es-ES" w:eastAsia="es-ES" w:bidi="ar-SA"/>
              </w:rPr>
              <w:t>(Si aplica)</w:t>
            </w:r>
          </w:p>
        </w:tc>
        <w:tc>
          <w:tcPr>
            <w:tcW w:w="916"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6956E6"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6956E6"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6956E6" w:rsidRPr="007C28E3" w:rsidRDefault="006956E6" w:rsidP="00DD1B91">
            <w:pPr>
              <w:jc w:val="center"/>
              <w:rPr>
                <w:rFonts w:ascii="Arial" w:hAnsi="Arial" w:cs="Arial"/>
              </w:rPr>
            </w:pPr>
            <w:r w:rsidRPr="007C28E3">
              <w:rPr>
                <w:rFonts w:ascii="Arial" w:hAnsi="Arial" w:cs="Arial"/>
              </w:rPr>
              <w:t>16</w:t>
            </w:r>
          </w:p>
        </w:tc>
        <w:tc>
          <w:tcPr>
            <w:tcW w:w="1428" w:type="pct"/>
            <w:vAlign w:val="center"/>
          </w:tcPr>
          <w:p w:rsidR="006956E6" w:rsidRPr="007C28E3" w:rsidRDefault="006956E6"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Expedir y publicar el acto administrativo de apertura del proceso y el pliego de condiciones definitivo</w:t>
            </w:r>
            <w:r w:rsidR="007C28E3">
              <w:rPr>
                <w:rFonts w:eastAsia="Times New Roman"/>
                <w:sz w:val="24"/>
                <w:szCs w:val="24"/>
                <w:lang w:val="es-ES" w:eastAsia="es-ES" w:bidi="ar-SA"/>
              </w:rPr>
              <w:t xml:space="preserve"> </w:t>
            </w:r>
            <w:r w:rsidRPr="007C28E3">
              <w:rPr>
                <w:rFonts w:eastAsia="Times New Roman"/>
                <w:sz w:val="24"/>
                <w:szCs w:val="24"/>
                <w:lang w:val="es-ES" w:eastAsia="es-ES" w:bidi="ar-SA"/>
              </w:rPr>
              <w:t>en la plataforma transaccional del SECOP II</w:t>
            </w:r>
          </w:p>
        </w:tc>
        <w:tc>
          <w:tcPr>
            <w:tcW w:w="916"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6956E6"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6956E6" w:rsidRPr="007C28E3" w:rsidRDefault="004F364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OAJ-102-FM-175</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Resolución – AA de apertura.</w:t>
            </w:r>
          </w:p>
        </w:tc>
      </w:tr>
      <w:tr w:rsidR="009339D0"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339D0" w:rsidP="00DD1B91">
            <w:pPr>
              <w:jc w:val="center"/>
              <w:rPr>
                <w:rFonts w:ascii="Arial" w:hAnsi="Arial" w:cs="Arial"/>
              </w:rPr>
            </w:pPr>
            <w:r w:rsidRPr="007C28E3">
              <w:rPr>
                <w:rFonts w:ascii="Arial" w:hAnsi="Arial" w:cs="Arial"/>
              </w:rPr>
              <w:t>17</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Recibir y dar respuesta a las observaciones</w:t>
            </w:r>
            <w:r w:rsidR="007C28E3" w:rsidRPr="007C28E3">
              <w:rPr>
                <w:rFonts w:ascii="Arial" w:hAnsi="Arial" w:cs="Arial"/>
              </w:rPr>
              <w:t xml:space="preserve"> </w:t>
            </w:r>
            <w:r w:rsidRPr="007C28E3">
              <w:rPr>
                <w:rFonts w:ascii="Arial" w:hAnsi="Arial" w:cs="Arial"/>
              </w:rPr>
              <w:t>realizadas (según el caso jurídicas y/o técnicas, financieras) al pliego de condiciones a través de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el pliego</w:t>
            </w:r>
          </w:p>
        </w:tc>
        <w:tc>
          <w:tcPr>
            <w:tcW w:w="845" w:type="pct"/>
            <w:vAlign w:val="center"/>
          </w:tcPr>
          <w:p w:rsidR="009339D0"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9D0"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339D0" w:rsidP="00DD1B91">
            <w:pPr>
              <w:jc w:val="center"/>
              <w:rPr>
                <w:rFonts w:ascii="Arial" w:hAnsi="Arial" w:cs="Arial"/>
              </w:rPr>
            </w:pPr>
            <w:r w:rsidRPr="007C28E3">
              <w:rPr>
                <w:rFonts w:ascii="Arial" w:hAnsi="Arial" w:cs="Arial"/>
              </w:rPr>
              <w:t>1</w:t>
            </w:r>
            <w:r w:rsidR="00C5044A" w:rsidRPr="007C28E3">
              <w:rPr>
                <w:rFonts w:ascii="Arial" w:hAnsi="Arial" w:cs="Arial"/>
              </w:rPr>
              <w:t>8</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Realizar la adenda en la plataforma del SECOP II (Si aplica)</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527057"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527057" w:rsidRPr="007C28E3" w:rsidRDefault="00527057" w:rsidP="00DD1B91">
            <w:pPr>
              <w:jc w:val="center"/>
              <w:rPr>
                <w:rFonts w:ascii="Arial" w:hAnsi="Arial" w:cs="Arial"/>
              </w:rPr>
            </w:pPr>
            <w:r w:rsidRPr="007C28E3">
              <w:rPr>
                <w:rFonts w:ascii="Arial" w:hAnsi="Arial" w:cs="Arial"/>
              </w:rPr>
              <w:t>1</w:t>
            </w:r>
            <w:r w:rsidR="00C5044A" w:rsidRPr="007C28E3">
              <w:rPr>
                <w:rFonts w:ascii="Arial" w:hAnsi="Arial" w:cs="Arial"/>
              </w:rPr>
              <w:t>9</w:t>
            </w:r>
          </w:p>
        </w:tc>
        <w:tc>
          <w:tcPr>
            <w:tcW w:w="1428" w:type="pct"/>
            <w:vAlign w:val="center"/>
          </w:tcPr>
          <w:p w:rsidR="00527057" w:rsidRPr="007C28E3" w:rsidRDefault="00527057"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Recibir manifestaciones de interés de posibles oferentes ( En el caso de las SA </w:t>
            </w:r>
            <w:r w:rsidR="00D22D65" w:rsidRPr="007C28E3">
              <w:rPr>
                <w:rFonts w:eastAsia="Times New Roman"/>
                <w:sz w:val="24"/>
                <w:szCs w:val="24"/>
                <w:lang w:val="es-ES" w:eastAsia="es-ES" w:bidi="ar-SA"/>
              </w:rPr>
              <w:t xml:space="preserve">- </w:t>
            </w:r>
            <w:r w:rsidRPr="007C28E3">
              <w:rPr>
                <w:rFonts w:eastAsia="Times New Roman"/>
                <w:sz w:val="24"/>
                <w:szCs w:val="24"/>
                <w:lang w:val="es-ES" w:eastAsia="es-ES" w:bidi="ar-SA"/>
              </w:rPr>
              <w:t xml:space="preserve">Menor Cuantía) </w:t>
            </w:r>
            <w:r w:rsidR="00D22D65" w:rsidRPr="007C28E3">
              <w:rPr>
                <w:rFonts w:eastAsia="Times New Roman"/>
                <w:sz w:val="24"/>
                <w:szCs w:val="24"/>
                <w:lang w:val="es-ES" w:eastAsia="es-ES" w:bidi="ar-SA"/>
              </w:rPr>
              <w:t>(Si se presentan más de 10 proponentes se deberá ver la viabilidad de realizar sorteo</w:t>
            </w:r>
            <w:r w:rsidR="00962DB8" w:rsidRPr="007C28E3">
              <w:rPr>
                <w:rFonts w:eastAsia="Times New Roman"/>
                <w:sz w:val="24"/>
                <w:szCs w:val="24"/>
                <w:lang w:val="es-ES" w:eastAsia="es-ES" w:bidi="ar-SA"/>
              </w:rPr>
              <w:t xml:space="preserve"> (opcional)</w:t>
            </w:r>
            <w:r w:rsidR="00D22D65" w:rsidRPr="007C28E3">
              <w:rPr>
                <w:rFonts w:eastAsia="Times New Roman"/>
                <w:sz w:val="24"/>
                <w:szCs w:val="24"/>
                <w:lang w:val="es-ES" w:eastAsia="es-ES" w:bidi="ar-SA"/>
              </w:rPr>
              <w:t>)</w:t>
            </w:r>
          </w:p>
        </w:tc>
        <w:tc>
          <w:tcPr>
            <w:tcW w:w="916" w:type="pct"/>
            <w:vAlign w:val="center"/>
          </w:tcPr>
          <w:p w:rsidR="00D22D65"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527057"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527057" w:rsidRPr="007C28E3" w:rsidRDefault="00D22D65"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527057" w:rsidRPr="007C28E3" w:rsidRDefault="00527057"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EB041E" w:rsidRPr="007C28E3" w:rsidTr="00CB652B">
        <w:trPr>
          <w:trHeight w:val="1850"/>
        </w:trPr>
        <w:tc>
          <w:tcPr>
            <w:cnfStyle w:val="001000000000" w:firstRow="0" w:lastRow="0" w:firstColumn="1" w:lastColumn="0" w:oddVBand="0" w:evenVBand="0" w:oddHBand="0" w:evenHBand="0" w:firstRowFirstColumn="0" w:firstRowLastColumn="0" w:lastRowFirstColumn="0" w:lastRowLastColumn="0"/>
            <w:tcW w:w="191" w:type="pct"/>
            <w:vAlign w:val="center"/>
          </w:tcPr>
          <w:p w:rsidR="00EB041E" w:rsidRPr="007C28E3" w:rsidRDefault="00CB5D4D" w:rsidP="00DD1B91">
            <w:pPr>
              <w:jc w:val="center"/>
              <w:rPr>
                <w:rFonts w:ascii="Arial" w:hAnsi="Arial" w:cs="Arial"/>
              </w:rPr>
            </w:pPr>
            <w:r w:rsidRPr="007C28E3">
              <w:rPr>
                <w:rFonts w:ascii="Arial" w:hAnsi="Arial" w:cs="Arial"/>
              </w:rPr>
              <w:t>20</w:t>
            </w:r>
          </w:p>
        </w:tc>
        <w:tc>
          <w:tcPr>
            <w:tcW w:w="1428" w:type="pct"/>
            <w:vAlign w:val="center"/>
          </w:tcPr>
          <w:p w:rsidR="00EB041E" w:rsidRPr="007C28E3" w:rsidRDefault="00EB041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Recibir las propuestas por medio de la plataforma del SECOP II</w:t>
            </w:r>
          </w:p>
          <w:p w:rsidR="00EB041E" w:rsidRPr="007C28E3" w:rsidRDefault="00EB041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(Si no se allegaron propuestas se deberá elaborar, proyectar, notificar y publicar la declaratoria de desierto del proceso en la plataforma transaccional del SECOP II</w:t>
            </w:r>
            <w:r w:rsidR="00962DB8" w:rsidRPr="007C28E3">
              <w:rPr>
                <w:rFonts w:eastAsia="Times New Roman"/>
                <w:sz w:val="24"/>
                <w:szCs w:val="24"/>
                <w:lang w:val="es-ES" w:eastAsia="es-ES" w:bidi="ar-SA"/>
              </w:rPr>
              <w:t xml:space="preserve">, </w:t>
            </w:r>
            <w:r w:rsidR="00962DB8" w:rsidRPr="007C28E3">
              <w:rPr>
                <w:rFonts w:eastAsia="Times New Roman"/>
                <w:b/>
                <w:sz w:val="24"/>
                <w:szCs w:val="24"/>
                <w:lang w:val="es-ES" w:eastAsia="es-ES" w:bidi="ar-SA"/>
              </w:rPr>
              <w:t>en caso contrario continuar con la actividad 21</w:t>
            </w:r>
            <w:r w:rsidR="00962DB8" w:rsidRPr="007C28E3">
              <w:rPr>
                <w:rFonts w:eastAsia="Times New Roman"/>
                <w:sz w:val="24"/>
                <w:szCs w:val="24"/>
                <w:lang w:val="es-ES" w:eastAsia="es-ES" w:bidi="ar-SA"/>
              </w:rPr>
              <w:t>)</w:t>
            </w:r>
          </w:p>
        </w:tc>
        <w:tc>
          <w:tcPr>
            <w:tcW w:w="916"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EB041E"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339D0" w:rsidRPr="007C28E3" w:rsidTr="00CB652B">
        <w:trPr>
          <w:trHeight w:val="507"/>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21</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Realizar </w:t>
            </w:r>
            <w:r w:rsidR="00EB041E" w:rsidRPr="007C28E3">
              <w:rPr>
                <w:rFonts w:eastAsia="Times New Roman"/>
                <w:sz w:val="24"/>
                <w:szCs w:val="24"/>
                <w:lang w:val="es-ES" w:eastAsia="es-ES" w:bidi="ar-SA"/>
              </w:rPr>
              <w:t>y publicar por</w:t>
            </w:r>
            <w:r w:rsidR="00962DB8" w:rsidRPr="007C28E3">
              <w:rPr>
                <w:rFonts w:eastAsia="Times New Roman"/>
                <w:sz w:val="24"/>
                <w:szCs w:val="24"/>
                <w:lang w:val="es-ES" w:eastAsia="es-ES" w:bidi="ar-SA"/>
              </w:rPr>
              <w:t xml:space="preserve"> lo menos</w:t>
            </w:r>
            <w:r w:rsidR="00EB041E" w:rsidRPr="007C28E3">
              <w:rPr>
                <w:rFonts w:eastAsia="Times New Roman"/>
                <w:sz w:val="24"/>
                <w:szCs w:val="24"/>
                <w:lang w:val="es-ES" w:eastAsia="es-ES" w:bidi="ar-SA"/>
              </w:rPr>
              <w:t xml:space="preserve"> tres (3) días </w:t>
            </w:r>
            <w:r w:rsidRPr="007C28E3">
              <w:rPr>
                <w:rFonts w:eastAsia="Times New Roman"/>
                <w:sz w:val="24"/>
                <w:szCs w:val="24"/>
                <w:lang w:val="es-ES" w:eastAsia="es-ES" w:bidi="ar-SA"/>
              </w:rPr>
              <w:t xml:space="preserve">los informes de evaluación </w:t>
            </w:r>
            <w:r w:rsidR="00EB041E" w:rsidRPr="007C28E3">
              <w:rPr>
                <w:rFonts w:eastAsia="Times New Roman"/>
                <w:sz w:val="24"/>
                <w:szCs w:val="24"/>
                <w:lang w:val="es-ES" w:eastAsia="es-ES" w:bidi="ar-SA"/>
              </w:rPr>
              <w:t xml:space="preserve">en la </w:t>
            </w:r>
            <w:r w:rsidRPr="007C28E3">
              <w:rPr>
                <w:rFonts w:eastAsia="Times New Roman"/>
                <w:sz w:val="24"/>
                <w:szCs w:val="24"/>
                <w:lang w:val="es-ES" w:eastAsia="es-ES" w:bidi="ar-SA"/>
              </w:rPr>
              <w:t>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339D0"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Formato OAJ-102-FM-166</w:t>
            </w:r>
          </w:p>
        </w:tc>
      </w:tr>
      <w:tr w:rsidR="009339D0" w:rsidRPr="007C28E3" w:rsidTr="00CB652B">
        <w:trPr>
          <w:trHeight w:val="669"/>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22</w:t>
            </w:r>
          </w:p>
        </w:tc>
        <w:tc>
          <w:tcPr>
            <w:tcW w:w="1428" w:type="pct"/>
            <w:vAlign w:val="center"/>
          </w:tcPr>
          <w:p w:rsidR="009339D0" w:rsidRPr="007C28E3" w:rsidRDefault="00F7163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Recibir y responder observaciones al informe de evaluación por medio de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339D0"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62DB8"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Merge w:val="restart"/>
            <w:vAlign w:val="center"/>
          </w:tcPr>
          <w:p w:rsidR="00962DB8" w:rsidRPr="007C28E3" w:rsidRDefault="00962DB8" w:rsidP="00DD1B91">
            <w:pPr>
              <w:jc w:val="center"/>
              <w:rPr>
                <w:rFonts w:ascii="Arial" w:hAnsi="Arial" w:cs="Arial"/>
              </w:rPr>
            </w:pPr>
            <w:r w:rsidRPr="007C28E3">
              <w:rPr>
                <w:rFonts w:ascii="Arial" w:hAnsi="Arial" w:cs="Arial"/>
              </w:rPr>
              <w:t>23</w:t>
            </w:r>
          </w:p>
        </w:tc>
        <w:tc>
          <w:tcPr>
            <w:tcW w:w="1428" w:type="pct"/>
            <w:vAlign w:val="center"/>
          </w:tcPr>
          <w:p w:rsidR="00962DB8" w:rsidRPr="007C28E3" w:rsidRDefault="00962DB8"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Si es una </w:t>
            </w:r>
            <w:r w:rsidRPr="007C28E3">
              <w:rPr>
                <w:rFonts w:eastAsia="Times New Roman"/>
                <w:b/>
                <w:sz w:val="24"/>
                <w:szCs w:val="24"/>
                <w:lang w:val="es-ES" w:eastAsia="es-ES" w:bidi="ar-SA"/>
              </w:rPr>
              <w:t>selección abreviada por subasta inversa</w:t>
            </w:r>
            <w:r w:rsidRPr="007C28E3">
              <w:rPr>
                <w:rFonts w:eastAsia="Times New Roman"/>
                <w:sz w:val="24"/>
                <w:szCs w:val="24"/>
                <w:lang w:val="es-ES" w:eastAsia="es-ES" w:bidi="ar-SA"/>
              </w:rPr>
              <w:t xml:space="preserve"> se deberá realizar la subasta inversa por medio de la plataforma transaccional del SECOP II, Dando aplicación del artículo 2.2.1.2.1.2.2 del Decreto 1082 de 2015.</w:t>
            </w:r>
          </w:p>
        </w:tc>
        <w:tc>
          <w:tcPr>
            <w:tcW w:w="916"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62DB8"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Merge/>
            <w:vAlign w:val="center"/>
          </w:tcPr>
          <w:p w:rsidR="00962DB8" w:rsidRPr="007C28E3" w:rsidRDefault="00962DB8" w:rsidP="00DD1B91">
            <w:pPr>
              <w:jc w:val="center"/>
              <w:rPr>
                <w:rFonts w:ascii="Arial" w:hAnsi="Arial" w:cs="Arial"/>
              </w:rPr>
            </w:pPr>
          </w:p>
        </w:tc>
        <w:tc>
          <w:tcPr>
            <w:tcW w:w="1428" w:type="pct"/>
            <w:vAlign w:val="center"/>
          </w:tcPr>
          <w:p w:rsidR="00962DB8" w:rsidRPr="007C28E3" w:rsidRDefault="00962DB8"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Si es </w:t>
            </w:r>
            <w:r w:rsidRPr="007C28E3">
              <w:rPr>
                <w:rFonts w:eastAsia="Times New Roman"/>
                <w:b/>
                <w:sz w:val="24"/>
                <w:szCs w:val="24"/>
                <w:lang w:val="es-ES" w:eastAsia="es-ES" w:bidi="ar-SA"/>
              </w:rPr>
              <w:t>una selección abreviada de menor cuantía</w:t>
            </w:r>
            <w:r w:rsidRPr="007C28E3">
              <w:rPr>
                <w:rFonts w:eastAsia="Times New Roman"/>
                <w:sz w:val="24"/>
                <w:szCs w:val="24"/>
                <w:lang w:val="es-ES" w:eastAsia="es-ES" w:bidi="ar-SA"/>
              </w:rPr>
              <w:t xml:space="preserve"> se deberá evaluar los requisitos ponderables y que otorguen puntaje.</w:t>
            </w:r>
          </w:p>
        </w:tc>
        <w:tc>
          <w:tcPr>
            <w:tcW w:w="916"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Formato OAJ-102-FM-325</w:t>
            </w: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C5044A"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C5044A"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4</w:t>
            </w:r>
          </w:p>
        </w:tc>
        <w:tc>
          <w:tcPr>
            <w:tcW w:w="1428" w:type="pct"/>
            <w:vAlign w:val="center"/>
          </w:tcPr>
          <w:p w:rsidR="00C5044A" w:rsidRPr="007C28E3" w:rsidRDefault="00C5044A"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Elaborar Resolución de adjudicación</w:t>
            </w:r>
          </w:p>
        </w:tc>
        <w:tc>
          <w:tcPr>
            <w:tcW w:w="916"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C5044A"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Resolución - ORFEO</w:t>
            </w:r>
          </w:p>
        </w:tc>
        <w:tc>
          <w:tcPr>
            <w:tcW w:w="845"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 xml:space="preserve">Acto </w:t>
            </w:r>
            <w:r w:rsidR="007C28E3" w:rsidRPr="007C28E3">
              <w:rPr>
                <w:rFonts w:ascii="Arial" w:eastAsia="Calibri" w:hAnsi="Arial" w:cs="Arial"/>
                <w:bCs/>
                <w:spacing w:val="-6"/>
              </w:rPr>
              <w:t>Administrativo</w:t>
            </w:r>
            <w:r w:rsidRPr="007C28E3">
              <w:rPr>
                <w:rFonts w:ascii="Arial" w:eastAsia="Calibri" w:hAnsi="Arial" w:cs="Arial"/>
                <w:bCs/>
                <w:spacing w:val="-6"/>
              </w:rPr>
              <w:t xml:space="preserve"> – Resolución.</w:t>
            </w:r>
          </w:p>
        </w:tc>
      </w:tr>
      <w:tr w:rsidR="009339D0" w:rsidRPr="007C28E3" w:rsidTr="00CB652B">
        <w:trPr>
          <w:trHeight w:val="1639"/>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lastRenderedPageBreak/>
              <w:t>2</w:t>
            </w:r>
            <w:r w:rsidR="00962DB8" w:rsidRPr="007C28E3">
              <w:rPr>
                <w:rFonts w:ascii="Arial" w:hAnsi="Arial" w:cs="Arial"/>
              </w:rPr>
              <w:t>5</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Elaborar y publicar </w:t>
            </w:r>
            <w:r w:rsidR="00C5044A" w:rsidRPr="007C28E3">
              <w:rPr>
                <w:rFonts w:eastAsia="Times New Roman"/>
                <w:sz w:val="24"/>
                <w:szCs w:val="24"/>
                <w:lang w:val="es-ES" w:eastAsia="es-ES" w:bidi="ar-SA"/>
              </w:rPr>
              <w:t xml:space="preserve">el contrato </w:t>
            </w:r>
            <w:r w:rsidRPr="007C28E3">
              <w:rPr>
                <w:rFonts w:eastAsia="Times New Roman"/>
                <w:sz w:val="24"/>
                <w:szCs w:val="24"/>
                <w:lang w:val="es-ES" w:eastAsia="es-ES" w:bidi="ar-SA"/>
              </w:rPr>
              <w:t>en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 xml:space="preserve">Formato </w:t>
            </w:r>
            <w:r w:rsidR="00C5044A" w:rsidRPr="007C28E3">
              <w:rPr>
                <w:rFonts w:ascii="Arial" w:eastAsia="Calibri" w:hAnsi="Arial" w:cs="Arial"/>
                <w:bCs/>
                <w:spacing w:val="-6"/>
              </w:rPr>
              <w:t>OAJ-102-FM-</w:t>
            </w:r>
            <w:r w:rsidR="006672D0" w:rsidRPr="007C28E3">
              <w:rPr>
                <w:rFonts w:ascii="Arial" w:eastAsia="Calibri" w:hAnsi="Arial" w:cs="Arial"/>
                <w:bCs/>
                <w:spacing w:val="-6"/>
              </w:rPr>
              <w:t>327</w:t>
            </w:r>
          </w:p>
        </w:tc>
      </w:tr>
      <w:tr w:rsidR="009339D0" w:rsidRPr="007C28E3" w:rsidTr="00DD1B91">
        <w:trPr>
          <w:trHeight w:val="81"/>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6</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Expedir Registro Presupuestal - RP</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Funcionario encargado de la Oficina Administrativa y Financiera</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RP generado por el sistema SIIF Nación.</w:t>
            </w:r>
          </w:p>
        </w:tc>
      </w:tr>
      <w:tr w:rsidR="009339D0" w:rsidRPr="007C28E3" w:rsidTr="00DD1B91">
        <w:trPr>
          <w:trHeight w:val="70"/>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7</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Constitución y envío de la garantía única de cumplimiento a la OAJ (En los casos que aplique)</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Contratista</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9D0" w:rsidRPr="007C28E3" w:rsidTr="00DD1B91">
        <w:trPr>
          <w:trHeight w:val="811"/>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8</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Aprobación de la garantía única de cumplimiento (En los casos que aplique)</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de aprobación de la garantía.</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OAJ-102-FM-299</w:t>
            </w: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eastAsia="Calibri" w:hAnsi="Arial" w:cs="Arial"/>
                <w:bCs/>
                <w:spacing w:val="-6"/>
              </w:rPr>
              <w:t>SECOP II</w:t>
            </w:r>
          </w:p>
        </w:tc>
      </w:tr>
      <w:tr w:rsidR="009339D0" w:rsidRPr="007C28E3" w:rsidTr="00CB652B">
        <w:trPr>
          <w:trHeight w:val="1264"/>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62DB8" w:rsidP="00DD1B91">
            <w:pPr>
              <w:jc w:val="center"/>
              <w:rPr>
                <w:rFonts w:ascii="Arial" w:hAnsi="Arial" w:cs="Arial"/>
              </w:rPr>
            </w:pPr>
            <w:r w:rsidRPr="007C28E3">
              <w:rPr>
                <w:rFonts w:ascii="Arial" w:hAnsi="Arial" w:cs="Arial"/>
              </w:rPr>
              <w:t>29</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Proyectar y remitir memorando de delegación de supervisión</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Jefe de la Oficina Asesora Jurídica</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Sistema Orfeo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 de delegación</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C454C0" w:rsidRDefault="005663AA" w:rsidP="00D23B45">
      <w:pPr>
        <w:pStyle w:val="Ttulo2"/>
        <w:spacing w:before="240" w:after="240"/>
        <w:ind w:left="0"/>
        <w:rPr>
          <w:sz w:val="24"/>
        </w:rPr>
      </w:pPr>
      <w:r w:rsidRPr="007C28E3">
        <w:rPr>
          <w:sz w:val="24"/>
        </w:rPr>
        <w:t xml:space="preserve">8. </w:t>
      </w:r>
      <w:r w:rsidR="00C454C0" w:rsidRPr="007C28E3">
        <w:rPr>
          <w:sz w:val="24"/>
        </w:rPr>
        <w:t xml:space="preserve">DOCUMENTOS </w:t>
      </w:r>
      <w:r w:rsidR="00306486" w:rsidRPr="007C28E3">
        <w:rPr>
          <w:sz w:val="24"/>
        </w:rPr>
        <w:t>ASOCIADOS A</w:t>
      </w:r>
      <w:r w:rsidR="00C454C0" w:rsidRPr="007C28E3">
        <w:rPr>
          <w:sz w:val="24"/>
        </w:rPr>
        <w:t>L PROCEDIMIENTO</w:t>
      </w:r>
    </w:p>
    <w:p w:rsidR="00D23B45" w:rsidRDefault="00D23B45" w:rsidP="00D23B45">
      <w:pPr>
        <w:rPr>
          <w:rFonts w:ascii="Arial" w:eastAsia="Calibri" w:hAnsi="Arial" w:cs="Arial"/>
          <w:bCs/>
          <w:spacing w:val="-6"/>
        </w:rPr>
      </w:pPr>
      <w:r w:rsidRPr="007C28E3">
        <w:rPr>
          <w:rFonts w:ascii="Arial" w:eastAsia="Calibri" w:hAnsi="Arial" w:cs="Arial"/>
          <w:bCs/>
          <w:spacing w:val="-6"/>
        </w:rPr>
        <w:t>Formato OAJ-102-FM-166</w:t>
      </w:r>
    </w:p>
    <w:p w:rsidR="00D23B45" w:rsidRDefault="00D23B45" w:rsidP="00D23B45">
      <w:pPr>
        <w:rPr>
          <w:rFonts w:ascii="Arial" w:hAnsi="Arial" w:cs="Arial"/>
        </w:rPr>
      </w:pPr>
      <w:r w:rsidRPr="007C28E3">
        <w:rPr>
          <w:rFonts w:ascii="Arial" w:eastAsia="Calibri" w:hAnsi="Arial" w:cs="Arial"/>
          <w:bCs/>
          <w:spacing w:val="-6"/>
        </w:rPr>
        <w:t>Formato</w:t>
      </w:r>
      <w:r w:rsidRPr="007C28E3">
        <w:rPr>
          <w:rFonts w:ascii="Arial" w:hAnsi="Arial" w:cs="Arial"/>
        </w:rPr>
        <w:t xml:space="preserve"> OAJ-102-FM-175</w:t>
      </w:r>
    </w:p>
    <w:p w:rsidR="00D23B45" w:rsidRDefault="00D23B45" w:rsidP="00D23B45">
      <w:pPr>
        <w:rPr>
          <w:rFonts w:ascii="Arial" w:eastAsia="Calibri" w:hAnsi="Arial" w:cs="Arial"/>
          <w:bCs/>
          <w:spacing w:val="-6"/>
        </w:rPr>
      </w:pPr>
      <w:r>
        <w:rPr>
          <w:rFonts w:ascii="Arial" w:eastAsia="Calibri" w:hAnsi="Arial" w:cs="Arial"/>
          <w:bCs/>
          <w:spacing w:val="-6"/>
        </w:rPr>
        <w:t xml:space="preserve">Formato </w:t>
      </w:r>
      <w:r w:rsidRPr="007C28E3">
        <w:rPr>
          <w:rFonts w:ascii="Arial" w:eastAsia="Calibri" w:hAnsi="Arial" w:cs="Arial"/>
          <w:bCs/>
          <w:spacing w:val="-6"/>
        </w:rPr>
        <w:t>OAJ-102-FM-299</w:t>
      </w:r>
    </w:p>
    <w:p w:rsidR="00D23B45" w:rsidRPr="007C28E3" w:rsidRDefault="00D23B45" w:rsidP="00D23B45">
      <w:pPr>
        <w:rPr>
          <w:rFonts w:ascii="Arial" w:eastAsia="Calibri" w:hAnsi="Arial" w:cs="Arial"/>
          <w:bCs/>
          <w:spacing w:val="-6"/>
        </w:rPr>
      </w:pPr>
      <w:r w:rsidRPr="007C28E3">
        <w:rPr>
          <w:rFonts w:ascii="Arial" w:eastAsia="Calibri" w:hAnsi="Arial" w:cs="Arial"/>
          <w:bCs/>
          <w:spacing w:val="-6"/>
        </w:rPr>
        <w:t>Formato OAJ-102-FM-325</w:t>
      </w:r>
    </w:p>
    <w:p w:rsidR="00D23B45" w:rsidRPr="007C28E3" w:rsidRDefault="00D23B45" w:rsidP="00D23B45">
      <w:pPr>
        <w:rPr>
          <w:rFonts w:ascii="Arial" w:eastAsia="Calibri" w:hAnsi="Arial" w:cs="Arial"/>
          <w:bCs/>
          <w:spacing w:val="-6"/>
        </w:rPr>
      </w:pPr>
      <w:r w:rsidRPr="007C28E3">
        <w:rPr>
          <w:rFonts w:ascii="Arial" w:eastAsia="Calibri" w:hAnsi="Arial" w:cs="Arial"/>
          <w:bCs/>
          <w:spacing w:val="-6"/>
        </w:rPr>
        <w:t>Formato OAJ-102-FM-327</w:t>
      </w:r>
    </w:p>
    <w:p w:rsidR="00EB0E97" w:rsidRPr="007C28E3" w:rsidRDefault="005663AA" w:rsidP="007C28E3">
      <w:pPr>
        <w:pStyle w:val="Ttulo2"/>
        <w:spacing w:before="240" w:after="240"/>
        <w:ind w:left="0"/>
        <w:rPr>
          <w:sz w:val="24"/>
        </w:rPr>
      </w:pPr>
      <w:r w:rsidRPr="007C28E3">
        <w:rPr>
          <w:sz w:val="24"/>
        </w:rPr>
        <w:t xml:space="preserve">9. </w:t>
      </w:r>
      <w:r w:rsidR="00EB0E97" w:rsidRPr="007C28E3">
        <w:rPr>
          <w:sz w:val="24"/>
        </w:rPr>
        <w:t>CONTROL DE CAMBIOS</w:t>
      </w:r>
    </w:p>
    <w:tbl>
      <w:tblPr>
        <w:tblStyle w:val="Tablaconcuadrcula1clara"/>
        <w:tblW w:w="5000" w:type="pct"/>
        <w:tblLook w:val="04A0" w:firstRow="1" w:lastRow="0" w:firstColumn="1" w:lastColumn="0" w:noHBand="0" w:noVBand="1"/>
      </w:tblPr>
      <w:tblGrid>
        <w:gridCol w:w="1270"/>
        <w:gridCol w:w="2269"/>
        <w:gridCol w:w="3827"/>
        <w:gridCol w:w="7366"/>
      </w:tblGrid>
      <w:tr w:rsidR="007C28E3" w:rsidRPr="007C28E3" w:rsidTr="007C28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rPr>
            </w:pPr>
            <w:r w:rsidRPr="007C28E3">
              <w:rPr>
                <w:rFonts w:ascii="Arial" w:hAnsi="Arial" w:cs="Arial"/>
              </w:rPr>
              <w:t>Versión</w:t>
            </w:r>
          </w:p>
        </w:tc>
        <w:tc>
          <w:tcPr>
            <w:tcW w:w="770"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Fecha de Entrada en Vigencia</w:t>
            </w:r>
          </w:p>
        </w:tc>
        <w:tc>
          <w:tcPr>
            <w:tcW w:w="1299"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Relación de las Secciones Modificadas</w:t>
            </w:r>
          </w:p>
        </w:tc>
        <w:tc>
          <w:tcPr>
            <w:tcW w:w="2500"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Naturaleza Del Cambio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1</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03/06/2009</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No aplica por ser versión inicial</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Adopción del procedimiento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2</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17/06/2009</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1</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Modificación de ajustes de edición.</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3</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09/07/2010</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2 políticas de operación, sección 4 definiciones, sección 5 descripción, sección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Cambio de normatividad, y modificación del procedimiento.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4</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15</w:t>
            </w:r>
            <w:r w:rsidRPr="007C28E3">
              <w:rPr>
                <w:rFonts w:ascii="Arial" w:hAnsi="Arial" w:cs="Arial"/>
                <w:bCs/>
                <w:spacing w:val="-6"/>
              </w:rPr>
              <w:t>/04/2011</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5 descripción, sección 6 anexos.</w:t>
            </w:r>
          </w:p>
        </w:tc>
        <w:tc>
          <w:tcPr>
            <w:tcW w:w="2500" w:type="pct"/>
            <w:vAlign w:val="center"/>
          </w:tcPr>
          <w:p w:rsidR="00CB652B" w:rsidRPr="007C28E3" w:rsidRDefault="00CB652B"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Modificación del procedimiento para hacerlo más concreto y claro e inclusión de anexos.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5</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09/06/2011</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Corrección de nombres de formatos.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6</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29/03/2012</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5 descripción</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bCs/>
              </w:rPr>
              <w:t>Se eliminó consulta en el SICE.</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7</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14/11/2012</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Secciones 2 políticas de operación, 4 definiciones, 5 descripción y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Actualización normativa, inclusión de políticas de operación, actualización de definiciones,</w:t>
            </w:r>
            <w:r w:rsidR="007C28E3" w:rsidRPr="007C28E3">
              <w:rPr>
                <w:rFonts w:ascii="Arial" w:hAnsi="Arial" w:cs="Arial"/>
                <w:bCs/>
              </w:rPr>
              <w:t xml:space="preserve"> </w:t>
            </w:r>
            <w:r w:rsidRPr="007C28E3">
              <w:rPr>
                <w:rFonts w:ascii="Arial" w:hAnsi="Arial" w:cs="Arial"/>
                <w:bCs/>
              </w:rPr>
              <w:t>modificación al procedimiento, eliminación de anexo formato hoja de vida e inclusión de documentos externos.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7C28E3" w:rsidRPr="007C28E3" w:rsidRDefault="007C28E3" w:rsidP="007C28E3">
            <w:pPr>
              <w:jc w:val="center"/>
              <w:rPr>
                <w:rFonts w:ascii="Arial" w:hAnsi="Arial" w:cs="Arial"/>
                <w:bCs w:val="0"/>
              </w:rPr>
            </w:pPr>
            <w:r w:rsidRPr="007C28E3">
              <w:rPr>
                <w:rFonts w:ascii="Arial" w:hAnsi="Arial" w:cs="Arial"/>
                <w:bCs w:val="0"/>
              </w:rPr>
              <w:t>8</w:t>
            </w:r>
          </w:p>
        </w:tc>
        <w:tc>
          <w:tcPr>
            <w:tcW w:w="770" w:type="pct"/>
            <w:vAlign w:val="center"/>
          </w:tcPr>
          <w:p w:rsidR="007C28E3" w:rsidRPr="007C28E3" w:rsidRDefault="007C28E3"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04/09/2019</w:t>
            </w:r>
          </w:p>
        </w:tc>
        <w:tc>
          <w:tcPr>
            <w:tcW w:w="1299" w:type="pct"/>
            <w:vAlign w:val="center"/>
          </w:tcPr>
          <w:p w:rsidR="007C28E3" w:rsidRPr="007C28E3" w:rsidRDefault="007C28E3"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Todo el documento</w:t>
            </w:r>
          </w:p>
        </w:tc>
        <w:tc>
          <w:tcPr>
            <w:tcW w:w="2500" w:type="pct"/>
            <w:vAlign w:val="center"/>
          </w:tcPr>
          <w:p w:rsidR="007C28E3" w:rsidRPr="007C28E3" w:rsidRDefault="007C28E3" w:rsidP="00D23B4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w:t>
            </w:r>
            <w:r>
              <w:rPr>
                <w:rFonts w:ascii="Arial" w:hAnsi="Arial" w:cs="Arial"/>
                <w:bCs/>
              </w:rPr>
              <w:t xml:space="preserve"> </w:t>
            </w:r>
            <w:proofErr w:type="spellStart"/>
            <w:r>
              <w:rPr>
                <w:rFonts w:ascii="Arial" w:hAnsi="Arial" w:cs="Arial"/>
                <w:bCs/>
              </w:rPr>
              <w:t>fucionaron</w:t>
            </w:r>
            <w:proofErr w:type="spellEnd"/>
            <w:r>
              <w:rPr>
                <w:rFonts w:ascii="Arial" w:hAnsi="Arial" w:cs="Arial"/>
                <w:bCs/>
              </w:rPr>
              <w:t xml:space="preserve"> los procedimientos </w:t>
            </w:r>
            <w:r w:rsidR="00D23B45">
              <w:rPr>
                <w:rFonts w:ascii="Arial" w:hAnsi="Arial" w:cs="Arial"/>
                <w:bCs/>
              </w:rPr>
              <w:t>e</w:t>
            </w:r>
            <w:r w:rsidR="00D23B45" w:rsidRPr="00D23B45">
              <w:rPr>
                <w:rFonts w:ascii="Arial" w:hAnsi="Arial" w:cs="Arial"/>
                <w:bCs/>
              </w:rPr>
              <w:t>tapa Precontractual –Subasta Inversa</w:t>
            </w:r>
            <w:r w:rsidR="00D23B45">
              <w:rPr>
                <w:rFonts w:ascii="Arial" w:hAnsi="Arial" w:cs="Arial"/>
                <w:bCs/>
              </w:rPr>
              <w:t xml:space="preserve"> </w:t>
            </w:r>
            <w:r w:rsidR="00D23B45" w:rsidRPr="00D23B45">
              <w:rPr>
                <w:rFonts w:ascii="Arial" w:hAnsi="Arial" w:cs="Arial"/>
                <w:bCs/>
              </w:rPr>
              <w:t xml:space="preserve">OAJ-102-PD-092 v7 </w:t>
            </w:r>
            <w:r>
              <w:rPr>
                <w:rFonts w:ascii="Arial" w:hAnsi="Arial" w:cs="Arial"/>
                <w:bCs/>
              </w:rPr>
              <w:t>y Selección Abreviada d</w:t>
            </w:r>
            <w:r w:rsidRPr="007C28E3">
              <w:rPr>
                <w:rFonts w:ascii="Arial" w:hAnsi="Arial" w:cs="Arial"/>
                <w:bCs/>
              </w:rPr>
              <w:t>e Menor Cuantía</w:t>
            </w:r>
            <w:r>
              <w:rPr>
                <w:rFonts w:ascii="Arial" w:hAnsi="Arial" w:cs="Arial"/>
                <w:bCs/>
              </w:rPr>
              <w:t xml:space="preserve"> </w:t>
            </w:r>
            <w:r w:rsidR="00D23B45">
              <w:rPr>
                <w:rFonts w:ascii="Arial" w:hAnsi="Arial" w:cs="Arial"/>
                <w:bCs/>
              </w:rPr>
              <w:t xml:space="preserve">OAJ-102-PD-119 v9; Se actualizo </w:t>
            </w:r>
            <w:r>
              <w:rPr>
                <w:rFonts w:ascii="Arial" w:hAnsi="Arial" w:cs="Arial"/>
                <w:bCs/>
              </w:rPr>
              <w:t xml:space="preserve">el </w:t>
            </w:r>
            <w:r w:rsidRPr="007C28E3">
              <w:rPr>
                <w:rFonts w:ascii="Arial" w:hAnsi="Arial" w:cs="Arial"/>
                <w:bCs/>
              </w:rPr>
              <w:t>objetivo, alcance, políticas de operación, actividades y se incorporó la accesibilidad del documento.</w:t>
            </w:r>
          </w:p>
        </w:tc>
      </w:tr>
      <w:tr w:rsidR="00BF2C80"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BF2C80" w:rsidRPr="007C28E3" w:rsidRDefault="00BF2C80" w:rsidP="007C28E3">
            <w:pPr>
              <w:jc w:val="center"/>
              <w:rPr>
                <w:rFonts w:ascii="Arial" w:hAnsi="Arial" w:cs="Arial"/>
              </w:rPr>
            </w:pPr>
            <w:r>
              <w:rPr>
                <w:rFonts w:ascii="Arial" w:hAnsi="Arial" w:cs="Arial"/>
              </w:rPr>
              <w:t>9</w:t>
            </w:r>
          </w:p>
        </w:tc>
        <w:tc>
          <w:tcPr>
            <w:tcW w:w="770" w:type="pct"/>
            <w:vAlign w:val="center"/>
          </w:tcPr>
          <w:p w:rsidR="00BF2C80" w:rsidRPr="007C28E3" w:rsidRDefault="00BF2C80"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21/12/2022</w:t>
            </w:r>
          </w:p>
        </w:tc>
        <w:tc>
          <w:tcPr>
            <w:tcW w:w="1299" w:type="pct"/>
            <w:vAlign w:val="center"/>
          </w:tcPr>
          <w:p w:rsidR="00BF2C80" w:rsidRPr="00AB1D95" w:rsidRDefault="00BF2C80" w:rsidP="00BF2C80">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3CF1">
              <w:rPr>
                <w:rFonts w:ascii="Arial" w:hAnsi="Arial" w:cs="Arial"/>
              </w:rPr>
              <w:t xml:space="preserve">Se modifica el código </w:t>
            </w:r>
            <w:r w:rsidR="00C84790" w:rsidRPr="00C84790">
              <w:rPr>
                <w:rFonts w:ascii="Arial" w:hAnsi="Arial" w:cs="Arial"/>
              </w:rPr>
              <w:t xml:space="preserve">OAJ-102-PD-092 </w:t>
            </w:r>
            <w:r w:rsidRPr="00AB1D95">
              <w:rPr>
                <w:rFonts w:ascii="Arial" w:hAnsi="Arial" w:cs="Arial"/>
              </w:rPr>
              <w:t>versión</w:t>
            </w:r>
            <w:r w:rsidRPr="009D3CF1">
              <w:rPr>
                <w:rFonts w:ascii="Arial" w:hAnsi="Arial" w:cs="Arial"/>
              </w:rPr>
              <w:t xml:space="preserve"> </w:t>
            </w:r>
            <w:r w:rsidR="00C84790">
              <w:rPr>
                <w:rFonts w:ascii="Arial" w:hAnsi="Arial" w:cs="Arial"/>
              </w:rPr>
              <w:t>8</w:t>
            </w:r>
            <w:r w:rsidRPr="009D3CF1">
              <w:rPr>
                <w:rFonts w:ascii="Arial" w:hAnsi="Arial" w:cs="Arial"/>
              </w:rPr>
              <w:t xml:space="preserve"> con ultima vigencia </w:t>
            </w:r>
            <w:r w:rsidR="00C84790">
              <w:rPr>
                <w:rFonts w:ascii="Arial" w:hAnsi="Arial" w:cs="Arial"/>
              </w:rPr>
              <w:t>21</w:t>
            </w:r>
            <w:r w:rsidRPr="009D3CF1">
              <w:rPr>
                <w:rFonts w:ascii="Arial" w:hAnsi="Arial" w:cs="Arial"/>
              </w:rPr>
              <w:t>/</w:t>
            </w:r>
            <w:r w:rsidR="00C84790">
              <w:rPr>
                <w:rFonts w:ascii="Arial" w:hAnsi="Arial" w:cs="Arial"/>
              </w:rPr>
              <w:t>11</w:t>
            </w:r>
            <w:r w:rsidRPr="009D3CF1">
              <w:rPr>
                <w:rFonts w:ascii="Arial" w:hAnsi="Arial" w:cs="Arial"/>
              </w:rPr>
              <w:t xml:space="preserve">/2021 a </w:t>
            </w:r>
            <w:r w:rsidRPr="00AB1D95">
              <w:rPr>
                <w:rFonts w:ascii="Arial" w:hAnsi="Arial" w:cs="Arial"/>
              </w:rPr>
              <w:t>OAJ-102-GC-PD-0021</w:t>
            </w:r>
            <w:r w:rsidRPr="009D3CF1">
              <w:rPr>
                <w:rFonts w:ascii="Arial" w:hAnsi="Arial" w:cs="Arial"/>
              </w:rPr>
              <w:t xml:space="preserve"> versión 0001.</w:t>
            </w:r>
          </w:p>
          <w:p w:rsidR="00BF2C80" w:rsidRPr="009D3CF1" w:rsidRDefault="00BF2C80" w:rsidP="00BF2C80">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BF2C80" w:rsidRPr="007C28E3" w:rsidRDefault="00BF2C80" w:rsidP="00BF2C80">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D3CF1">
              <w:rPr>
                <w:rFonts w:ascii="Arial" w:hAnsi="Arial" w:cs="Arial"/>
              </w:rPr>
              <w:t xml:space="preserve">Modificación y adición de políticas de operación, modificación de las actividades del procedimiento, eliminación actividad </w:t>
            </w:r>
            <w:proofErr w:type="gramStart"/>
            <w:r w:rsidRPr="009D3CF1">
              <w:rPr>
                <w:rFonts w:ascii="Arial" w:hAnsi="Arial" w:cs="Arial"/>
              </w:rPr>
              <w:t>No</w:t>
            </w:r>
            <w:r>
              <w:rPr>
                <w:rFonts w:ascii="Arial" w:hAnsi="Arial" w:cs="Arial"/>
              </w:rPr>
              <w:t xml:space="preserve"> </w:t>
            </w:r>
            <w:r w:rsidRPr="009D3CF1">
              <w:rPr>
                <w:rFonts w:ascii="Arial" w:hAnsi="Arial" w:cs="Arial"/>
              </w:rPr>
              <w:t>.</w:t>
            </w:r>
            <w:proofErr w:type="gramEnd"/>
            <w:r w:rsidRPr="009D3CF1">
              <w:rPr>
                <w:rFonts w:ascii="Arial" w:hAnsi="Arial" w:cs="Arial"/>
              </w:rPr>
              <w:t xml:space="preserve"> 7 y modificación de los anexos asociados.</w:t>
            </w:r>
          </w:p>
        </w:tc>
        <w:tc>
          <w:tcPr>
            <w:tcW w:w="2500" w:type="pct"/>
            <w:vAlign w:val="center"/>
          </w:tcPr>
          <w:p w:rsidR="00BF2C80" w:rsidRPr="009D3CF1" w:rsidRDefault="00BF2C80" w:rsidP="00BF2C80">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3CF1">
              <w:rPr>
                <w:rFonts w:ascii="Arial" w:hAnsi="Arial" w:cs="Arial"/>
              </w:rPr>
              <w:t xml:space="preserve">Se ajusta de acuerdo con el accionar del proceso </w:t>
            </w:r>
          </w:p>
          <w:p w:rsidR="00BF2C80" w:rsidRPr="009D3CF1" w:rsidRDefault="00BF2C80" w:rsidP="00BF2C80">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BF2C80" w:rsidRPr="009D3CF1" w:rsidRDefault="00BF2C80" w:rsidP="00BF2C80">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3CF1">
              <w:rPr>
                <w:rFonts w:ascii="Arial" w:hAnsi="Arial" w:cs="Arial"/>
              </w:rPr>
              <w:t>Se generó nuevo código, versión y fecha por migración del procedimiento del Sistema Integrado de Gestión al nuevo Software Suite visión</w:t>
            </w:r>
          </w:p>
          <w:p w:rsidR="00BF2C80" w:rsidRPr="007C28E3" w:rsidRDefault="00BF2C80" w:rsidP="00D23B4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rsidR="00CB652B" w:rsidRPr="007C28E3" w:rsidRDefault="00CB652B" w:rsidP="00CB652B">
      <w:pPr>
        <w:pStyle w:val="Ttulo2"/>
        <w:spacing w:before="240" w:after="240"/>
        <w:ind w:left="0"/>
        <w:rPr>
          <w:sz w:val="24"/>
        </w:rPr>
      </w:pPr>
      <w:r w:rsidRPr="007C28E3">
        <w:rPr>
          <w:sz w:val="24"/>
        </w:rPr>
        <w:lastRenderedPageBreak/>
        <w:t>10. ETAPAS DEL DOCUMENTO</w:t>
      </w:r>
    </w:p>
    <w:tbl>
      <w:tblPr>
        <w:tblStyle w:val="Tablaconcuadrcula1clara"/>
        <w:tblW w:w="5000" w:type="pct"/>
        <w:tblLook w:val="04A0" w:firstRow="1" w:lastRow="0" w:firstColumn="1" w:lastColumn="0" w:noHBand="0" w:noVBand="1"/>
      </w:tblPr>
      <w:tblGrid>
        <w:gridCol w:w="3922"/>
        <w:gridCol w:w="6809"/>
        <w:gridCol w:w="4001"/>
      </w:tblGrid>
      <w:tr w:rsidR="00CB652B" w:rsidRPr="007C28E3" w:rsidTr="00CB652B">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1331" w:type="pct"/>
            <w:vAlign w:val="center"/>
          </w:tcPr>
          <w:p w:rsidR="00CB652B" w:rsidRPr="007C28E3" w:rsidRDefault="00CB652B" w:rsidP="00F759D4">
            <w:pPr>
              <w:jc w:val="center"/>
              <w:rPr>
                <w:rFonts w:ascii="Arial" w:hAnsi="Arial" w:cs="Arial"/>
              </w:rPr>
            </w:pPr>
            <w:r w:rsidRPr="007C28E3">
              <w:rPr>
                <w:rFonts w:ascii="Arial" w:hAnsi="Arial" w:cs="Arial"/>
              </w:rPr>
              <w:t>ETAPAS DEL DOCUMENTO</w:t>
            </w:r>
          </w:p>
        </w:tc>
        <w:tc>
          <w:tcPr>
            <w:tcW w:w="2311" w:type="pct"/>
            <w:vAlign w:val="center"/>
          </w:tcPr>
          <w:p w:rsidR="00CB652B" w:rsidRPr="007C28E3" w:rsidRDefault="00CB652B" w:rsidP="00F759D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NOMBRE DE LA PERSONA RESPONSABLE</w:t>
            </w:r>
          </w:p>
        </w:tc>
        <w:tc>
          <w:tcPr>
            <w:tcW w:w="1358" w:type="pct"/>
            <w:vAlign w:val="center"/>
          </w:tcPr>
          <w:p w:rsidR="00CB652B" w:rsidRPr="007C28E3" w:rsidRDefault="00CB652B" w:rsidP="00F759D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FECHA</w:t>
            </w:r>
          </w:p>
        </w:tc>
      </w:tr>
      <w:tr w:rsidR="00CB652B" w:rsidRPr="007C28E3" w:rsidTr="00CB652B">
        <w:trPr>
          <w:trHeight w:val="312"/>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Elaboración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Stephania Ortega Lugo</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03/09/2019</w:t>
            </w:r>
          </w:p>
        </w:tc>
      </w:tr>
      <w:tr w:rsidR="00CB652B" w:rsidRPr="007C28E3" w:rsidTr="00CB652B">
        <w:trPr>
          <w:trHeight w:val="295"/>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Revisión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Darío Montañez Vargas</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03/09/2019</w:t>
            </w:r>
          </w:p>
        </w:tc>
      </w:tr>
      <w:tr w:rsidR="00CB652B" w:rsidRPr="007C28E3" w:rsidTr="00CB652B">
        <w:trPr>
          <w:trHeight w:val="279"/>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Aprobación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bCs/>
              </w:rPr>
              <w:t>Darío Montañez Vargas</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04/09/2019</w:t>
            </w:r>
          </w:p>
        </w:tc>
      </w:tr>
    </w:tbl>
    <w:p w:rsidR="002E2962" w:rsidRPr="007C28E3" w:rsidRDefault="002E2962" w:rsidP="007C28E3">
      <w:pPr>
        <w:jc w:val="both"/>
        <w:rPr>
          <w:rFonts w:ascii="Arial" w:hAnsi="Arial" w:cs="Arial"/>
          <w:bCs/>
        </w:rPr>
      </w:pPr>
    </w:p>
    <w:sectPr w:rsidR="002E2962" w:rsidRPr="007C28E3" w:rsidSect="00CB652B">
      <w:headerReference w:type="default" r:id="rId7"/>
      <w:footerReference w:type="default" r:id="rId8"/>
      <w:pgSz w:w="17010" w:h="22680" w:code="1"/>
      <w:pgMar w:top="1134" w:right="1134" w:bottom="1843"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AC" w:rsidRDefault="00ED0CAC">
      <w:r>
        <w:separator/>
      </w:r>
    </w:p>
  </w:endnote>
  <w:endnote w:type="continuationSeparator" w:id="0">
    <w:p w:rsidR="00ED0CAC" w:rsidRDefault="00ED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53" w:rsidRDefault="00841F15" w:rsidP="00D23B45">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DD1B9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DD1B91">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AC" w:rsidRDefault="00ED0CAC">
      <w:r>
        <w:separator/>
      </w:r>
    </w:p>
  </w:footnote>
  <w:footnote w:type="continuationSeparator" w:id="0">
    <w:p w:rsidR="00ED0CAC" w:rsidRDefault="00ED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15" w:rsidRDefault="0016549A" w:rsidP="0016549A">
    <w:pPr>
      <w:pStyle w:val="Encabezado"/>
      <w:tabs>
        <w:tab w:val="clear" w:pos="4252"/>
        <w:tab w:val="clear" w:pos="8504"/>
        <w:tab w:val="left" w:pos="1560"/>
      </w:tabs>
    </w:pPr>
    <w:r>
      <w:rPr>
        <w:noProof/>
        <w:lang w:val="es-CO" w:eastAsia="es-CO"/>
      </w:rPr>
      <w:drawing>
        <wp:inline distT="0" distB="0" distL="0" distR="0" wp14:anchorId="4D69F582" wp14:editId="74FC5936">
          <wp:extent cx="3105807" cy="898634"/>
          <wp:effectExtent l="0" t="0" r="0" b="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125700" cy="904390"/>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4E62B1"/>
    <w:multiLevelType w:val="hybridMultilevel"/>
    <w:tmpl w:val="D4488B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53D4B"/>
    <w:multiLevelType w:val="hybridMultilevel"/>
    <w:tmpl w:val="F23EEDD8"/>
    <w:lvl w:ilvl="0" w:tplc="22D6C12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64A3C"/>
    <w:multiLevelType w:val="hybridMultilevel"/>
    <w:tmpl w:val="39001F1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30"/>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2"/>
  </w:num>
  <w:num w:numId="20">
    <w:abstractNumId w:val="28"/>
  </w:num>
  <w:num w:numId="21">
    <w:abstractNumId w:val="15"/>
  </w:num>
  <w:num w:numId="22">
    <w:abstractNumId w:val="33"/>
  </w:num>
  <w:num w:numId="23">
    <w:abstractNumId w:val="6"/>
  </w:num>
  <w:num w:numId="24">
    <w:abstractNumId w:val="9"/>
  </w:num>
  <w:num w:numId="25">
    <w:abstractNumId w:val="2"/>
  </w:num>
  <w:num w:numId="26">
    <w:abstractNumId w:val="23"/>
  </w:num>
  <w:num w:numId="27">
    <w:abstractNumId w:val="19"/>
  </w:num>
  <w:num w:numId="28">
    <w:abstractNumId w:val="35"/>
  </w:num>
  <w:num w:numId="29">
    <w:abstractNumId w:val="12"/>
  </w:num>
  <w:num w:numId="30">
    <w:abstractNumId w:val="18"/>
  </w:num>
  <w:num w:numId="31">
    <w:abstractNumId w:val="17"/>
  </w:num>
  <w:num w:numId="32">
    <w:abstractNumId w:val="20"/>
  </w:num>
  <w:num w:numId="33">
    <w:abstractNumId w:val="34"/>
  </w:num>
  <w:num w:numId="34">
    <w:abstractNumId w:val="7"/>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43B12"/>
    <w:rsid w:val="00051AB8"/>
    <w:rsid w:val="00055678"/>
    <w:rsid w:val="000948D3"/>
    <w:rsid w:val="000953C0"/>
    <w:rsid w:val="00096576"/>
    <w:rsid w:val="000B2D17"/>
    <w:rsid w:val="000C22B3"/>
    <w:rsid w:val="000C4F19"/>
    <w:rsid w:val="000C567E"/>
    <w:rsid w:val="000D4DC5"/>
    <w:rsid w:val="00103E2C"/>
    <w:rsid w:val="00106C77"/>
    <w:rsid w:val="001166EC"/>
    <w:rsid w:val="001378F8"/>
    <w:rsid w:val="00140D19"/>
    <w:rsid w:val="00147149"/>
    <w:rsid w:val="0016549A"/>
    <w:rsid w:val="001C2BBB"/>
    <w:rsid w:val="001C7E04"/>
    <w:rsid w:val="001D57FB"/>
    <w:rsid w:val="00232D8F"/>
    <w:rsid w:val="00280E64"/>
    <w:rsid w:val="0028565B"/>
    <w:rsid w:val="0029340E"/>
    <w:rsid w:val="002B28C7"/>
    <w:rsid w:val="002E2962"/>
    <w:rsid w:val="00306486"/>
    <w:rsid w:val="00307CD4"/>
    <w:rsid w:val="00335766"/>
    <w:rsid w:val="00336027"/>
    <w:rsid w:val="00337C1E"/>
    <w:rsid w:val="003648B1"/>
    <w:rsid w:val="003976DB"/>
    <w:rsid w:val="003B54A9"/>
    <w:rsid w:val="003D1082"/>
    <w:rsid w:val="003D3C4A"/>
    <w:rsid w:val="003D62A9"/>
    <w:rsid w:val="003F5CE7"/>
    <w:rsid w:val="00400FBA"/>
    <w:rsid w:val="00420871"/>
    <w:rsid w:val="0042794B"/>
    <w:rsid w:val="0043056E"/>
    <w:rsid w:val="00466222"/>
    <w:rsid w:val="00477FE6"/>
    <w:rsid w:val="0049097E"/>
    <w:rsid w:val="004A455A"/>
    <w:rsid w:val="004B580F"/>
    <w:rsid w:val="004C6ABE"/>
    <w:rsid w:val="004C7914"/>
    <w:rsid w:val="004D7DB7"/>
    <w:rsid w:val="004F364E"/>
    <w:rsid w:val="00507A02"/>
    <w:rsid w:val="00517A5E"/>
    <w:rsid w:val="005254C8"/>
    <w:rsid w:val="005257C7"/>
    <w:rsid w:val="00527057"/>
    <w:rsid w:val="0053205E"/>
    <w:rsid w:val="00563B6D"/>
    <w:rsid w:val="00565B47"/>
    <w:rsid w:val="005663AA"/>
    <w:rsid w:val="005766F8"/>
    <w:rsid w:val="0057793D"/>
    <w:rsid w:val="00591156"/>
    <w:rsid w:val="005A72A4"/>
    <w:rsid w:val="005B6286"/>
    <w:rsid w:val="005D16A3"/>
    <w:rsid w:val="005E0002"/>
    <w:rsid w:val="005F3D8F"/>
    <w:rsid w:val="00603E9D"/>
    <w:rsid w:val="006075CB"/>
    <w:rsid w:val="00615125"/>
    <w:rsid w:val="0062147F"/>
    <w:rsid w:val="006257F4"/>
    <w:rsid w:val="00630A23"/>
    <w:rsid w:val="00631D24"/>
    <w:rsid w:val="0063602D"/>
    <w:rsid w:val="0065400C"/>
    <w:rsid w:val="006672D0"/>
    <w:rsid w:val="006678CE"/>
    <w:rsid w:val="00673BA8"/>
    <w:rsid w:val="006861AF"/>
    <w:rsid w:val="006956E6"/>
    <w:rsid w:val="006A3753"/>
    <w:rsid w:val="006B6763"/>
    <w:rsid w:val="006E21C0"/>
    <w:rsid w:val="006E4521"/>
    <w:rsid w:val="006F58DB"/>
    <w:rsid w:val="00713803"/>
    <w:rsid w:val="0076098E"/>
    <w:rsid w:val="007A019D"/>
    <w:rsid w:val="007B0FBF"/>
    <w:rsid w:val="007B2945"/>
    <w:rsid w:val="007B6EFB"/>
    <w:rsid w:val="007C28E3"/>
    <w:rsid w:val="007D115F"/>
    <w:rsid w:val="007E5BC5"/>
    <w:rsid w:val="007E6F42"/>
    <w:rsid w:val="007F22D6"/>
    <w:rsid w:val="0080152A"/>
    <w:rsid w:val="00803EF0"/>
    <w:rsid w:val="00814D70"/>
    <w:rsid w:val="008173A9"/>
    <w:rsid w:val="0082261F"/>
    <w:rsid w:val="008405EE"/>
    <w:rsid w:val="00841F15"/>
    <w:rsid w:val="00855B04"/>
    <w:rsid w:val="0086373C"/>
    <w:rsid w:val="00867F09"/>
    <w:rsid w:val="00877F32"/>
    <w:rsid w:val="008B52F4"/>
    <w:rsid w:val="008C123F"/>
    <w:rsid w:val="008C37A6"/>
    <w:rsid w:val="008E6283"/>
    <w:rsid w:val="008F7C3E"/>
    <w:rsid w:val="00914E2A"/>
    <w:rsid w:val="0091747C"/>
    <w:rsid w:val="00920DDE"/>
    <w:rsid w:val="009339D0"/>
    <w:rsid w:val="009412C6"/>
    <w:rsid w:val="009537FF"/>
    <w:rsid w:val="00962DB8"/>
    <w:rsid w:val="00976332"/>
    <w:rsid w:val="00982471"/>
    <w:rsid w:val="009867DD"/>
    <w:rsid w:val="009E340C"/>
    <w:rsid w:val="009E5323"/>
    <w:rsid w:val="00A52BAF"/>
    <w:rsid w:val="00A557E6"/>
    <w:rsid w:val="00A71D8D"/>
    <w:rsid w:val="00A73431"/>
    <w:rsid w:val="00A74264"/>
    <w:rsid w:val="00AB4793"/>
    <w:rsid w:val="00AD648F"/>
    <w:rsid w:val="00B13EE1"/>
    <w:rsid w:val="00B318C5"/>
    <w:rsid w:val="00B32037"/>
    <w:rsid w:val="00B42AC3"/>
    <w:rsid w:val="00B576D0"/>
    <w:rsid w:val="00B73802"/>
    <w:rsid w:val="00B90AC6"/>
    <w:rsid w:val="00BA04CB"/>
    <w:rsid w:val="00BB76C6"/>
    <w:rsid w:val="00BE1F68"/>
    <w:rsid w:val="00BE2D94"/>
    <w:rsid w:val="00BE5C61"/>
    <w:rsid w:val="00BF2C80"/>
    <w:rsid w:val="00C056EE"/>
    <w:rsid w:val="00C10270"/>
    <w:rsid w:val="00C41A81"/>
    <w:rsid w:val="00C44B15"/>
    <w:rsid w:val="00C454C0"/>
    <w:rsid w:val="00C45F00"/>
    <w:rsid w:val="00C5044A"/>
    <w:rsid w:val="00C54253"/>
    <w:rsid w:val="00C54B3B"/>
    <w:rsid w:val="00C83A60"/>
    <w:rsid w:val="00C84790"/>
    <w:rsid w:val="00C9789A"/>
    <w:rsid w:val="00CB5D4D"/>
    <w:rsid w:val="00CB652B"/>
    <w:rsid w:val="00CC60FD"/>
    <w:rsid w:val="00CD1318"/>
    <w:rsid w:val="00CD445B"/>
    <w:rsid w:val="00CE1DA4"/>
    <w:rsid w:val="00D21133"/>
    <w:rsid w:val="00D22D65"/>
    <w:rsid w:val="00D23B45"/>
    <w:rsid w:val="00D23EFF"/>
    <w:rsid w:val="00D92232"/>
    <w:rsid w:val="00D95966"/>
    <w:rsid w:val="00DC09BC"/>
    <w:rsid w:val="00DD1B91"/>
    <w:rsid w:val="00DD47C2"/>
    <w:rsid w:val="00E06372"/>
    <w:rsid w:val="00E1210E"/>
    <w:rsid w:val="00E155BA"/>
    <w:rsid w:val="00E232BC"/>
    <w:rsid w:val="00E27245"/>
    <w:rsid w:val="00E37112"/>
    <w:rsid w:val="00E37966"/>
    <w:rsid w:val="00E512CB"/>
    <w:rsid w:val="00E52469"/>
    <w:rsid w:val="00E6751B"/>
    <w:rsid w:val="00E70233"/>
    <w:rsid w:val="00E70CF8"/>
    <w:rsid w:val="00E76D11"/>
    <w:rsid w:val="00EB041E"/>
    <w:rsid w:val="00EB0E97"/>
    <w:rsid w:val="00ED0CAC"/>
    <w:rsid w:val="00EF45FD"/>
    <w:rsid w:val="00F14E74"/>
    <w:rsid w:val="00F24582"/>
    <w:rsid w:val="00F32600"/>
    <w:rsid w:val="00F376A3"/>
    <w:rsid w:val="00F4063F"/>
    <w:rsid w:val="00F42DCF"/>
    <w:rsid w:val="00F515D5"/>
    <w:rsid w:val="00F7163E"/>
    <w:rsid w:val="00F75562"/>
    <w:rsid w:val="00F7743C"/>
    <w:rsid w:val="00FA5A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E43BB"/>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CB65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BF2C80"/>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2221</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Maria Angelica Cruz  Herrera</cp:lastModifiedBy>
  <cp:revision>4</cp:revision>
  <cp:lastPrinted>2010-11-02T20:20:00Z</cp:lastPrinted>
  <dcterms:created xsi:type="dcterms:W3CDTF">2022-12-21T20:49:00Z</dcterms:created>
  <dcterms:modified xsi:type="dcterms:W3CDTF">2022-12-22T12:45:00Z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