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305"/>
        <w:tblW w:w="5000" w:type="pct"/>
        <w:tblLook w:val="04A0" w:firstRow="1" w:lastRow="0" w:firstColumn="1" w:lastColumn="0" w:noHBand="0" w:noVBand="1"/>
      </w:tblPr>
      <w:tblGrid>
        <w:gridCol w:w="800"/>
        <w:gridCol w:w="4442"/>
        <w:gridCol w:w="3244"/>
        <w:gridCol w:w="2664"/>
        <w:gridCol w:w="2844"/>
      </w:tblGrid>
      <w:tr w:rsidR="00FA1301" w:rsidRPr="0042249E" w14:paraId="6E30B492" w14:textId="77777777" w:rsidTr="00FA1301">
        <w:tc>
          <w:tcPr>
            <w:tcW w:w="286" w:type="pct"/>
            <w:vAlign w:val="center"/>
          </w:tcPr>
          <w:p w14:paraId="12B46F10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587" w:type="pct"/>
            <w:vAlign w:val="center"/>
          </w:tcPr>
          <w:p w14:paraId="2F15810C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Radicado Proceso</w:t>
            </w:r>
          </w:p>
        </w:tc>
        <w:tc>
          <w:tcPr>
            <w:tcW w:w="1159" w:type="pct"/>
            <w:vAlign w:val="center"/>
          </w:tcPr>
          <w:p w14:paraId="670477BB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Estado del proceso</w:t>
            </w:r>
          </w:p>
        </w:tc>
        <w:tc>
          <w:tcPr>
            <w:tcW w:w="952" w:type="pct"/>
            <w:vAlign w:val="center"/>
          </w:tcPr>
          <w:p w14:paraId="317240FD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Cuantía Inicial</w:t>
            </w:r>
          </w:p>
        </w:tc>
        <w:tc>
          <w:tcPr>
            <w:tcW w:w="1016" w:type="pct"/>
            <w:vAlign w:val="center"/>
          </w:tcPr>
          <w:p w14:paraId="0733EDA6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Riesgo de perdida</w:t>
            </w:r>
          </w:p>
        </w:tc>
      </w:tr>
      <w:tr w:rsidR="00FA1301" w14:paraId="646AD7A0" w14:textId="77777777" w:rsidTr="00FA1301">
        <w:tc>
          <w:tcPr>
            <w:tcW w:w="286" w:type="pct"/>
            <w:shd w:val="clear" w:color="auto" w:fill="A8D08D" w:themeFill="accent6" w:themeFillTint="99"/>
            <w:vAlign w:val="center"/>
          </w:tcPr>
          <w:p w14:paraId="5D8C38E0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pct"/>
            <w:shd w:val="clear" w:color="auto" w:fill="A8D08D" w:themeFill="accent6" w:themeFillTint="99"/>
            <w:vAlign w:val="center"/>
          </w:tcPr>
          <w:p w14:paraId="676EE2AF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2500023360020140080200</w:t>
            </w:r>
          </w:p>
          <w:p w14:paraId="23FB305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INCI contra Mary Lucia Hurtado</w:t>
            </w:r>
          </w:p>
        </w:tc>
        <w:tc>
          <w:tcPr>
            <w:tcW w:w="1159" w:type="pct"/>
            <w:shd w:val="clear" w:color="auto" w:fill="A8D08D" w:themeFill="accent6" w:themeFillTint="99"/>
            <w:vAlign w:val="center"/>
          </w:tcPr>
          <w:p w14:paraId="767A2822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Fallo</w:t>
            </w:r>
          </w:p>
        </w:tc>
        <w:tc>
          <w:tcPr>
            <w:tcW w:w="952" w:type="pct"/>
            <w:shd w:val="clear" w:color="auto" w:fill="A8D08D" w:themeFill="accent6" w:themeFillTint="99"/>
            <w:vAlign w:val="center"/>
          </w:tcPr>
          <w:p w14:paraId="476298D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$610.254.034</w:t>
            </w:r>
          </w:p>
        </w:tc>
        <w:tc>
          <w:tcPr>
            <w:tcW w:w="1016" w:type="pct"/>
            <w:shd w:val="clear" w:color="auto" w:fill="A8D08D" w:themeFill="accent6" w:themeFillTint="99"/>
            <w:vAlign w:val="center"/>
          </w:tcPr>
          <w:p w14:paraId="2C8E2694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50%</w:t>
            </w:r>
          </w:p>
        </w:tc>
      </w:tr>
      <w:tr w:rsidR="00FA1301" w14:paraId="765298F9" w14:textId="77777777" w:rsidTr="00FA1301">
        <w:tc>
          <w:tcPr>
            <w:tcW w:w="286" w:type="pct"/>
            <w:vAlign w:val="center"/>
          </w:tcPr>
          <w:p w14:paraId="71DF097C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7" w:type="pct"/>
            <w:vAlign w:val="center"/>
          </w:tcPr>
          <w:p w14:paraId="147BDDA0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11001333501720140034800</w:t>
            </w:r>
          </w:p>
          <w:p w14:paraId="6EF1F51A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Angela Liliana Silva</w:t>
            </w:r>
          </w:p>
        </w:tc>
        <w:tc>
          <w:tcPr>
            <w:tcW w:w="1159" w:type="pct"/>
            <w:vAlign w:val="center"/>
          </w:tcPr>
          <w:p w14:paraId="5354C634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Fallo – liquidar</w:t>
            </w:r>
          </w:p>
        </w:tc>
        <w:tc>
          <w:tcPr>
            <w:tcW w:w="952" w:type="pct"/>
            <w:vAlign w:val="center"/>
          </w:tcPr>
          <w:p w14:paraId="7644981F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$26.819.906</w:t>
            </w:r>
          </w:p>
        </w:tc>
        <w:tc>
          <w:tcPr>
            <w:tcW w:w="1016" w:type="pct"/>
            <w:vAlign w:val="center"/>
          </w:tcPr>
          <w:p w14:paraId="408CD84B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Bajo</w:t>
            </w:r>
          </w:p>
        </w:tc>
      </w:tr>
      <w:tr w:rsidR="00FA1301" w14:paraId="5EBF63DF" w14:textId="77777777" w:rsidTr="00FA1301">
        <w:tc>
          <w:tcPr>
            <w:tcW w:w="286" w:type="pct"/>
            <w:shd w:val="clear" w:color="auto" w:fill="A8D08D" w:themeFill="accent6" w:themeFillTint="99"/>
            <w:vAlign w:val="center"/>
          </w:tcPr>
          <w:p w14:paraId="59C37F97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87" w:type="pct"/>
            <w:shd w:val="clear" w:color="auto" w:fill="A8D08D" w:themeFill="accent6" w:themeFillTint="99"/>
            <w:vAlign w:val="center"/>
          </w:tcPr>
          <w:p w14:paraId="3C02BCDD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11001334306520160030000</w:t>
            </w:r>
          </w:p>
          <w:p w14:paraId="50145189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INCI contra Igualdad de acciones</w:t>
            </w:r>
          </w:p>
        </w:tc>
        <w:tc>
          <w:tcPr>
            <w:tcW w:w="1159" w:type="pct"/>
            <w:shd w:val="clear" w:color="auto" w:fill="A8D08D" w:themeFill="accent6" w:themeFillTint="99"/>
            <w:vAlign w:val="center"/>
          </w:tcPr>
          <w:p w14:paraId="3688DA2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Fallo</w:t>
            </w:r>
          </w:p>
        </w:tc>
        <w:tc>
          <w:tcPr>
            <w:tcW w:w="952" w:type="pct"/>
            <w:shd w:val="clear" w:color="auto" w:fill="A8D08D" w:themeFill="accent6" w:themeFillTint="99"/>
            <w:vAlign w:val="center"/>
          </w:tcPr>
          <w:p w14:paraId="3B25B46E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$249.718.650</w:t>
            </w:r>
          </w:p>
        </w:tc>
        <w:tc>
          <w:tcPr>
            <w:tcW w:w="1016" w:type="pct"/>
            <w:shd w:val="clear" w:color="auto" w:fill="A8D08D" w:themeFill="accent6" w:themeFillTint="99"/>
            <w:vAlign w:val="center"/>
          </w:tcPr>
          <w:p w14:paraId="3087A48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50%</w:t>
            </w:r>
          </w:p>
        </w:tc>
      </w:tr>
      <w:tr w:rsidR="00FA1301" w14:paraId="5C6487A3" w14:textId="77777777" w:rsidTr="00FA1301">
        <w:tc>
          <w:tcPr>
            <w:tcW w:w="286" w:type="pct"/>
            <w:shd w:val="clear" w:color="auto" w:fill="9CC2E5" w:themeFill="accent5" w:themeFillTint="99"/>
            <w:vAlign w:val="center"/>
          </w:tcPr>
          <w:p w14:paraId="6F674EE1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87" w:type="pct"/>
            <w:shd w:val="clear" w:color="auto" w:fill="9CC2E5" w:themeFill="accent5" w:themeFillTint="99"/>
            <w:vAlign w:val="center"/>
          </w:tcPr>
          <w:p w14:paraId="694A0B04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11001333503020150070800</w:t>
            </w:r>
          </w:p>
          <w:p w14:paraId="58958D44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proofErr w:type="spellStart"/>
            <w:r w:rsidRPr="00FA1301">
              <w:rPr>
                <w:sz w:val="24"/>
                <w:szCs w:val="24"/>
              </w:rPr>
              <w:t>Arelly</w:t>
            </w:r>
            <w:proofErr w:type="spellEnd"/>
            <w:r w:rsidRPr="00FA1301">
              <w:rPr>
                <w:sz w:val="24"/>
                <w:szCs w:val="24"/>
              </w:rPr>
              <w:t xml:space="preserve"> Cortes Castillo</w:t>
            </w:r>
          </w:p>
        </w:tc>
        <w:tc>
          <w:tcPr>
            <w:tcW w:w="1159" w:type="pct"/>
            <w:shd w:val="clear" w:color="auto" w:fill="9CC2E5" w:themeFill="accent5" w:themeFillTint="99"/>
            <w:vAlign w:val="center"/>
          </w:tcPr>
          <w:p w14:paraId="7C594A5B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Fallo</w:t>
            </w:r>
          </w:p>
        </w:tc>
        <w:tc>
          <w:tcPr>
            <w:tcW w:w="952" w:type="pct"/>
            <w:shd w:val="clear" w:color="auto" w:fill="9CC2E5" w:themeFill="accent5" w:themeFillTint="99"/>
            <w:vAlign w:val="center"/>
          </w:tcPr>
          <w:p w14:paraId="08869167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</w:t>
            </w:r>
          </w:p>
        </w:tc>
        <w:tc>
          <w:tcPr>
            <w:tcW w:w="1016" w:type="pct"/>
            <w:shd w:val="clear" w:color="auto" w:fill="9CC2E5" w:themeFill="accent5" w:themeFillTint="99"/>
            <w:vAlign w:val="center"/>
          </w:tcPr>
          <w:p w14:paraId="2D84D823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Ninguno</w:t>
            </w:r>
          </w:p>
        </w:tc>
      </w:tr>
      <w:tr w:rsidR="00FA1301" w14:paraId="0915334D" w14:textId="77777777" w:rsidTr="00FA1301">
        <w:tc>
          <w:tcPr>
            <w:tcW w:w="286" w:type="pct"/>
            <w:vAlign w:val="center"/>
          </w:tcPr>
          <w:p w14:paraId="17B458A6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87" w:type="pct"/>
            <w:vAlign w:val="center"/>
          </w:tcPr>
          <w:p w14:paraId="7CB9A960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11001334204620170032700</w:t>
            </w:r>
          </w:p>
          <w:p w14:paraId="79A3B63E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Elmer Leonel Arias</w:t>
            </w:r>
          </w:p>
        </w:tc>
        <w:tc>
          <w:tcPr>
            <w:tcW w:w="1159" w:type="pct"/>
            <w:vAlign w:val="center"/>
          </w:tcPr>
          <w:p w14:paraId="189357CB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Sentencia primera instancia a favor del INCI– con apelación</w:t>
            </w:r>
          </w:p>
        </w:tc>
        <w:tc>
          <w:tcPr>
            <w:tcW w:w="952" w:type="pct"/>
            <w:vAlign w:val="center"/>
          </w:tcPr>
          <w:p w14:paraId="679BD68B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$263.340.900</w:t>
            </w:r>
          </w:p>
        </w:tc>
        <w:tc>
          <w:tcPr>
            <w:tcW w:w="1016" w:type="pct"/>
            <w:vAlign w:val="center"/>
          </w:tcPr>
          <w:p w14:paraId="60827D7E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Bajo</w:t>
            </w:r>
          </w:p>
        </w:tc>
      </w:tr>
      <w:tr w:rsidR="00FA1301" w14:paraId="0A79064B" w14:textId="77777777" w:rsidTr="00FA1301">
        <w:tc>
          <w:tcPr>
            <w:tcW w:w="286" w:type="pct"/>
            <w:shd w:val="clear" w:color="auto" w:fill="9CC2E5" w:themeFill="accent5" w:themeFillTint="99"/>
            <w:vAlign w:val="center"/>
          </w:tcPr>
          <w:p w14:paraId="0D5DD35D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87" w:type="pct"/>
            <w:shd w:val="clear" w:color="auto" w:fill="9CC2E5" w:themeFill="accent5" w:themeFillTint="99"/>
            <w:vAlign w:val="center"/>
          </w:tcPr>
          <w:p w14:paraId="638247B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11001333502220170032600</w:t>
            </w:r>
          </w:p>
          <w:p w14:paraId="18060269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Pacifico Ernesto Berrera</w:t>
            </w:r>
          </w:p>
        </w:tc>
        <w:tc>
          <w:tcPr>
            <w:tcW w:w="1159" w:type="pct"/>
            <w:shd w:val="clear" w:color="auto" w:fill="9CC2E5" w:themeFill="accent5" w:themeFillTint="99"/>
            <w:vAlign w:val="center"/>
          </w:tcPr>
          <w:p w14:paraId="39974233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Sentencia segunda Instancia a favor del INCI</w:t>
            </w:r>
          </w:p>
        </w:tc>
        <w:tc>
          <w:tcPr>
            <w:tcW w:w="952" w:type="pct"/>
            <w:shd w:val="clear" w:color="auto" w:fill="9CC2E5" w:themeFill="accent5" w:themeFillTint="99"/>
            <w:vAlign w:val="center"/>
          </w:tcPr>
          <w:p w14:paraId="7AD36003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$113.095.505</w:t>
            </w:r>
          </w:p>
        </w:tc>
        <w:tc>
          <w:tcPr>
            <w:tcW w:w="1016" w:type="pct"/>
            <w:shd w:val="clear" w:color="auto" w:fill="9CC2E5" w:themeFill="accent5" w:themeFillTint="99"/>
            <w:vAlign w:val="center"/>
          </w:tcPr>
          <w:p w14:paraId="1A1749DB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Ninguno</w:t>
            </w:r>
          </w:p>
        </w:tc>
      </w:tr>
      <w:tr w:rsidR="00FA1301" w14:paraId="5C6700FD" w14:textId="77777777" w:rsidTr="00FA1301">
        <w:tc>
          <w:tcPr>
            <w:tcW w:w="286" w:type="pct"/>
            <w:shd w:val="clear" w:color="auto" w:fill="9CC2E5" w:themeFill="accent5" w:themeFillTint="99"/>
            <w:vAlign w:val="center"/>
          </w:tcPr>
          <w:p w14:paraId="5FF31368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87" w:type="pct"/>
            <w:shd w:val="clear" w:color="auto" w:fill="9CC2E5" w:themeFill="accent5" w:themeFillTint="99"/>
            <w:vAlign w:val="center"/>
          </w:tcPr>
          <w:p w14:paraId="0B3C6469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25000234200020170566500</w:t>
            </w:r>
          </w:p>
          <w:p w14:paraId="26E4CBA4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Luz Dary Rodríguez</w:t>
            </w:r>
          </w:p>
        </w:tc>
        <w:tc>
          <w:tcPr>
            <w:tcW w:w="1159" w:type="pct"/>
            <w:shd w:val="clear" w:color="auto" w:fill="9CC2E5" w:themeFill="accent5" w:themeFillTint="99"/>
            <w:vAlign w:val="center"/>
          </w:tcPr>
          <w:p w14:paraId="32650E99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Fallo</w:t>
            </w:r>
          </w:p>
        </w:tc>
        <w:tc>
          <w:tcPr>
            <w:tcW w:w="952" w:type="pct"/>
            <w:shd w:val="clear" w:color="auto" w:fill="9CC2E5" w:themeFill="accent5" w:themeFillTint="99"/>
            <w:vAlign w:val="center"/>
          </w:tcPr>
          <w:p w14:paraId="69EDCA03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$78.124.200</w:t>
            </w:r>
          </w:p>
        </w:tc>
        <w:tc>
          <w:tcPr>
            <w:tcW w:w="1016" w:type="pct"/>
            <w:shd w:val="clear" w:color="auto" w:fill="9CC2E5" w:themeFill="accent5" w:themeFillTint="99"/>
            <w:vAlign w:val="center"/>
          </w:tcPr>
          <w:p w14:paraId="626BCB6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Ninguno</w:t>
            </w:r>
          </w:p>
        </w:tc>
      </w:tr>
      <w:tr w:rsidR="00FA1301" w14:paraId="7BFFB347" w14:textId="77777777" w:rsidTr="00FA1301">
        <w:tc>
          <w:tcPr>
            <w:tcW w:w="286" w:type="pct"/>
            <w:vAlign w:val="center"/>
          </w:tcPr>
          <w:p w14:paraId="769DCA31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87" w:type="pct"/>
            <w:vAlign w:val="center"/>
          </w:tcPr>
          <w:p w14:paraId="1E62A34D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11001333502920180020500</w:t>
            </w:r>
          </w:p>
          <w:p w14:paraId="491F9138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Luis Arnulfo Delgado</w:t>
            </w:r>
          </w:p>
        </w:tc>
        <w:tc>
          <w:tcPr>
            <w:tcW w:w="1159" w:type="pct"/>
            <w:vAlign w:val="center"/>
          </w:tcPr>
          <w:p w14:paraId="5B12FFC9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Inicio y Fijación del Litigio</w:t>
            </w:r>
          </w:p>
        </w:tc>
        <w:tc>
          <w:tcPr>
            <w:tcW w:w="952" w:type="pct"/>
            <w:vAlign w:val="center"/>
          </w:tcPr>
          <w:p w14:paraId="02EBB82F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 $ 87.780.300</w:t>
            </w:r>
          </w:p>
        </w:tc>
        <w:tc>
          <w:tcPr>
            <w:tcW w:w="1016" w:type="pct"/>
            <w:vAlign w:val="center"/>
          </w:tcPr>
          <w:p w14:paraId="2805A7B6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Alta</w:t>
            </w:r>
          </w:p>
        </w:tc>
      </w:tr>
      <w:tr w:rsidR="00FA1301" w14:paraId="67FCAD20" w14:textId="77777777" w:rsidTr="00FA1301">
        <w:tc>
          <w:tcPr>
            <w:tcW w:w="286" w:type="pct"/>
            <w:shd w:val="clear" w:color="auto" w:fill="9CC2E5" w:themeFill="accent5" w:themeFillTint="99"/>
            <w:vAlign w:val="center"/>
          </w:tcPr>
          <w:p w14:paraId="1B8DAA8C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0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87" w:type="pct"/>
            <w:shd w:val="clear" w:color="auto" w:fill="9CC2E5" w:themeFill="accent5" w:themeFillTint="99"/>
            <w:vAlign w:val="center"/>
          </w:tcPr>
          <w:p w14:paraId="24D48B29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11001333502120180047800</w:t>
            </w:r>
          </w:p>
          <w:p w14:paraId="08EB769E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Carlos Antonio Lucero</w:t>
            </w:r>
          </w:p>
        </w:tc>
        <w:tc>
          <w:tcPr>
            <w:tcW w:w="1159" w:type="pct"/>
            <w:shd w:val="clear" w:color="auto" w:fill="9CC2E5" w:themeFill="accent5" w:themeFillTint="99"/>
            <w:vAlign w:val="center"/>
          </w:tcPr>
          <w:p w14:paraId="4C325341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Sentencia primera instancia a favor del INCI– sin apelación</w:t>
            </w:r>
          </w:p>
        </w:tc>
        <w:tc>
          <w:tcPr>
            <w:tcW w:w="952" w:type="pct"/>
            <w:shd w:val="clear" w:color="auto" w:fill="9CC2E5" w:themeFill="accent5" w:themeFillTint="99"/>
            <w:vAlign w:val="center"/>
          </w:tcPr>
          <w:p w14:paraId="41B0C5DF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</w:t>
            </w:r>
          </w:p>
        </w:tc>
        <w:tc>
          <w:tcPr>
            <w:tcW w:w="1016" w:type="pct"/>
            <w:shd w:val="clear" w:color="auto" w:fill="9CC2E5" w:themeFill="accent5" w:themeFillTint="99"/>
            <w:vAlign w:val="center"/>
          </w:tcPr>
          <w:p w14:paraId="35A3CD03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Ninguno</w:t>
            </w:r>
          </w:p>
        </w:tc>
      </w:tr>
      <w:tr w:rsidR="00FA1301" w:rsidRPr="000626C5" w14:paraId="6A7C4661" w14:textId="77777777" w:rsidTr="00FA1301">
        <w:tc>
          <w:tcPr>
            <w:tcW w:w="286" w:type="pct"/>
            <w:vAlign w:val="center"/>
          </w:tcPr>
          <w:p w14:paraId="638A97F0" w14:textId="77777777" w:rsidR="00FA1301" w:rsidRPr="00FA1301" w:rsidRDefault="00FA1301" w:rsidP="00FA1301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FA130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56F3C0EE" w14:textId="77777777" w:rsidR="00FA1301" w:rsidRPr="00FA1301" w:rsidRDefault="00FA1301" w:rsidP="00FA1301">
            <w:pPr>
              <w:jc w:val="center"/>
              <w:rPr>
                <w:color w:val="FF0000"/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11001334205320190047900 Aura Marcela Pardo Bejarano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603D5622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Admisión de la demanda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C1E30DE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$19.032.276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D457850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  <w:r w:rsidRPr="00FA1301">
              <w:rPr>
                <w:sz w:val="24"/>
                <w:szCs w:val="24"/>
              </w:rPr>
              <w:t>Media</w:t>
            </w:r>
          </w:p>
          <w:p w14:paraId="0D25495E" w14:textId="77777777" w:rsidR="00FA1301" w:rsidRPr="00FA1301" w:rsidRDefault="00FA1301" w:rsidP="00FA13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6498BB" w14:textId="0A305275" w:rsidR="00034C29" w:rsidRDefault="00034C29" w:rsidP="00034C29">
      <w:pPr>
        <w:jc w:val="center"/>
        <w:rPr>
          <w:b/>
          <w:bCs/>
          <w:sz w:val="32"/>
          <w:szCs w:val="32"/>
        </w:rPr>
      </w:pPr>
      <w:r w:rsidRPr="000626C5">
        <w:rPr>
          <w:b/>
          <w:bCs/>
          <w:sz w:val="32"/>
          <w:szCs w:val="32"/>
        </w:rPr>
        <w:t>Reporte de Proceso activos en el INCI</w:t>
      </w:r>
    </w:p>
    <w:p w14:paraId="5D232E1C" w14:textId="77777777" w:rsidR="002B09C2" w:rsidRDefault="002B09C2" w:rsidP="002B09C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1094"/>
      </w:tblGrid>
      <w:tr w:rsidR="002B09C2" w14:paraId="20B9E376" w14:textId="77777777" w:rsidTr="00FA1301">
        <w:trPr>
          <w:jc w:val="center"/>
        </w:trPr>
        <w:tc>
          <w:tcPr>
            <w:tcW w:w="667" w:type="dxa"/>
            <w:shd w:val="clear" w:color="auto" w:fill="A8D08D" w:themeFill="accent6" w:themeFillTint="99"/>
            <w:vAlign w:val="center"/>
          </w:tcPr>
          <w:p w14:paraId="371EFF80" w14:textId="77777777" w:rsidR="002B09C2" w:rsidRDefault="002B09C2" w:rsidP="00FA1301"/>
        </w:tc>
        <w:tc>
          <w:tcPr>
            <w:tcW w:w="11094" w:type="dxa"/>
            <w:vAlign w:val="center"/>
          </w:tcPr>
          <w:p w14:paraId="3B3CA605" w14:textId="560E4596" w:rsidR="002B09C2" w:rsidRDefault="002B09C2" w:rsidP="00FA1301">
            <w:r>
              <w:t>Demandas interpuestas por el Instituto Nacional para Ciegos – INCI</w:t>
            </w:r>
          </w:p>
        </w:tc>
      </w:tr>
      <w:tr w:rsidR="002B09C2" w14:paraId="4D907687" w14:textId="77777777" w:rsidTr="00FA1301">
        <w:trPr>
          <w:jc w:val="center"/>
        </w:trPr>
        <w:tc>
          <w:tcPr>
            <w:tcW w:w="667" w:type="dxa"/>
            <w:shd w:val="clear" w:color="auto" w:fill="9CC2E5" w:themeFill="accent5" w:themeFillTint="99"/>
            <w:vAlign w:val="center"/>
          </w:tcPr>
          <w:p w14:paraId="1657F0F3" w14:textId="77777777" w:rsidR="002B09C2" w:rsidRDefault="002B09C2" w:rsidP="00FA1301"/>
        </w:tc>
        <w:tc>
          <w:tcPr>
            <w:tcW w:w="11094" w:type="dxa"/>
            <w:vAlign w:val="center"/>
          </w:tcPr>
          <w:p w14:paraId="46C34DE7" w14:textId="3701057C" w:rsidR="002B09C2" w:rsidRDefault="002B09C2" w:rsidP="00FA1301">
            <w:r>
              <w:t>Demandas con fallo a favor del Instituto Nacional para Ciegos – INCI, pero vigentes en la página de la Rama Judicial.</w:t>
            </w:r>
          </w:p>
        </w:tc>
      </w:tr>
      <w:tr w:rsidR="002B09C2" w14:paraId="37D2C591" w14:textId="77777777" w:rsidTr="00FA1301">
        <w:trPr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35ADA24B" w14:textId="77777777" w:rsidR="002B09C2" w:rsidRDefault="002B09C2" w:rsidP="00FA1301"/>
        </w:tc>
        <w:tc>
          <w:tcPr>
            <w:tcW w:w="11094" w:type="dxa"/>
            <w:vAlign w:val="center"/>
          </w:tcPr>
          <w:p w14:paraId="6137E180" w14:textId="7C905D03" w:rsidR="002B09C2" w:rsidRDefault="002B09C2" w:rsidP="00FA1301">
            <w:r>
              <w:t>Demandas activas</w:t>
            </w:r>
          </w:p>
        </w:tc>
      </w:tr>
    </w:tbl>
    <w:p w14:paraId="2B0484CF" w14:textId="77777777" w:rsidR="002B09C2" w:rsidRDefault="002B09C2" w:rsidP="00FA1301"/>
    <w:sectPr w:rsidR="002B09C2" w:rsidSect="00FA13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29"/>
    <w:rsid w:val="00034C29"/>
    <w:rsid w:val="002B09C2"/>
    <w:rsid w:val="005F064E"/>
    <w:rsid w:val="00AD7319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B2D"/>
  <w15:chartTrackingRefBased/>
  <w15:docId w15:val="{02FD81E9-319B-4892-945E-4FBA6E5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Aleja</dc:creator>
  <cp:keywords/>
  <dc:description/>
  <cp:lastModifiedBy>Sara Rivera</cp:lastModifiedBy>
  <cp:revision>5</cp:revision>
  <dcterms:created xsi:type="dcterms:W3CDTF">2020-09-18T23:08:00Z</dcterms:created>
  <dcterms:modified xsi:type="dcterms:W3CDTF">2020-09-20T01:49:00Z</dcterms:modified>
</cp:coreProperties>
</file>