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C" w:rsidRPr="005548F6" w:rsidRDefault="0091747C" w:rsidP="004C7914">
      <w:pPr>
        <w:pStyle w:val="Ttulo1"/>
      </w:pPr>
      <w:r w:rsidRPr="005548F6">
        <w:t>PROCEDIMIENTO</w:t>
      </w:r>
      <w:r w:rsidR="00A557E6" w:rsidRPr="005548F6">
        <w:t>:</w:t>
      </w:r>
      <w:r w:rsidR="00F97835">
        <w:t xml:space="preserve"> </w:t>
      </w:r>
      <w:r w:rsidR="00BA4710">
        <w:t>PROGRAMACIÓN PRESUPUESTAL</w:t>
      </w:r>
    </w:p>
    <w:p w:rsidR="004C7914" w:rsidRPr="005548F6" w:rsidRDefault="004C7914" w:rsidP="00F97835">
      <w:pPr>
        <w:pStyle w:val="Ttulo2"/>
        <w:spacing w:before="240" w:after="240"/>
        <w:ind w:left="0"/>
        <w:rPr>
          <w:sz w:val="24"/>
        </w:rPr>
      </w:pPr>
      <w:r w:rsidRPr="005548F6">
        <w:rPr>
          <w:sz w:val="24"/>
        </w:rPr>
        <w:t xml:space="preserve">1. </w:t>
      </w:r>
      <w:r w:rsidR="00A557E6" w:rsidRPr="005548F6">
        <w:rPr>
          <w:sz w:val="24"/>
        </w:rPr>
        <w:t>DATOS BÁSICOS</w:t>
      </w:r>
    </w:p>
    <w:p w:rsidR="0091747C" w:rsidRPr="005548F6" w:rsidRDefault="00EE4C20" w:rsidP="00F97835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 xml:space="preserve">Nombre del </w:t>
      </w:r>
      <w:proofErr w:type="spellStart"/>
      <w:r w:rsidRPr="005548F6">
        <w:rPr>
          <w:rFonts w:ascii="Arial" w:hAnsi="Arial" w:cs="Arial"/>
          <w:bCs/>
        </w:rPr>
        <w:t>Proceso</w:t>
      </w:r>
      <w:proofErr w:type="gramStart"/>
      <w:r w:rsidR="00725A57">
        <w:rPr>
          <w:rFonts w:ascii="Arial" w:hAnsi="Arial" w:cs="Arial"/>
          <w:bCs/>
        </w:rPr>
        <w:t>:Direccionamiento</w:t>
      </w:r>
      <w:proofErr w:type="spellEnd"/>
      <w:proofErr w:type="gramEnd"/>
      <w:r w:rsidR="00725A57">
        <w:rPr>
          <w:rFonts w:ascii="Arial" w:hAnsi="Arial" w:cs="Arial"/>
          <w:bCs/>
        </w:rPr>
        <w:t xml:space="preserve"> Estratégico</w:t>
      </w:r>
    </w:p>
    <w:p w:rsidR="0091747C" w:rsidRPr="005548F6" w:rsidRDefault="00EE4C20" w:rsidP="00F97835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Código</w:t>
      </w:r>
      <w:proofErr w:type="gramStart"/>
      <w:r w:rsidRPr="005548F6">
        <w:rPr>
          <w:rFonts w:ascii="Arial" w:hAnsi="Arial" w:cs="Arial"/>
          <w:bCs/>
        </w:rPr>
        <w:t>:</w:t>
      </w:r>
      <w:r w:rsidR="00010DC1">
        <w:rPr>
          <w:rFonts w:ascii="Arial" w:hAnsi="Arial" w:cs="Arial"/>
          <w:bCs/>
        </w:rPr>
        <w:t>DG</w:t>
      </w:r>
      <w:proofErr w:type="gramEnd"/>
      <w:r w:rsidR="00010DC1">
        <w:rPr>
          <w:rFonts w:ascii="Arial" w:hAnsi="Arial" w:cs="Arial"/>
          <w:bCs/>
        </w:rPr>
        <w:t>-20-PD-290</w:t>
      </w:r>
    </w:p>
    <w:p w:rsidR="00F97835" w:rsidRDefault="00EE4C20" w:rsidP="00F97835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Versión</w:t>
      </w:r>
      <w:r w:rsidR="0091747C" w:rsidRPr="005548F6">
        <w:rPr>
          <w:rFonts w:ascii="Arial" w:hAnsi="Arial" w:cs="Arial"/>
          <w:bCs/>
        </w:rPr>
        <w:t xml:space="preserve">: </w:t>
      </w:r>
      <w:r w:rsidR="00BA4710">
        <w:rPr>
          <w:rFonts w:ascii="Arial" w:hAnsi="Arial" w:cs="Arial"/>
          <w:bCs/>
        </w:rPr>
        <w:t>2</w:t>
      </w:r>
    </w:p>
    <w:p w:rsidR="0091747C" w:rsidRPr="005548F6" w:rsidRDefault="00EE4C20" w:rsidP="00F97835">
      <w:pPr>
        <w:spacing w:after="240"/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Vigencia</w:t>
      </w:r>
      <w:r w:rsidR="00EF45FD" w:rsidRPr="005548F6">
        <w:rPr>
          <w:rFonts w:ascii="Arial" w:hAnsi="Arial" w:cs="Arial"/>
          <w:bCs/>
        </w:rPr>
        <w:t>:</w:t>
      </w:r>
      <w:r w:rsidR="00855B04" w:rsidRPr="005548F6">
        <w:rPr>
          <w:rFonts w:ascii="Arial" w:hAnsi="Arial" w:cs="Arial"/>
          <w:bCs/>
        </w:rPr>
        <w:t xml:space="preserve"> </w:t>
      </w:r>
      <w:r w:rsidR="00B00591">
        <w:rPr>
          <w:rFonts w:ascii="Arial" w:hAnsi="Arial" w:cs="Arial"/>
          <w:bCs/>
        </w:rPr>
        <w:t>2</w:t>
      </w:r>
      <w:r w:rsidR="00970B14">
        <w:rPr>
          <w:rFonts w:ascii="Arial" w:hAnsi="Arial" w:cs="Arial"/>
          <w:bCs/>
        </w:rPr>
        <w:t>8</w:t>
      </w:r>
      <w:r w:rsidR="00725A57">
        <w:rPr>
          <w:rFonts w:ascii="Arial" w:hAnsi="Arial" w:cs="Arial"/>
          <w:bCs/>
        </w:rPr>
        <w:t>/08/2019</w:t>
      </w:r>
    </w:p>
    <w:p w:rsidR="001338CB" w:rsidRPr="001338CB" w:rsidRDefault="0091747C" w:rsidP="00F97835">
      <w:pPr>
        <w:pStyle w:val="Ttulo2"/>
        <w:spacing w:after="240"/>
        <w:ind w:left="0"/>
        <w:rPr>
          <w:sz w:val="24"/>
        </w:rPr>
      </w:pPr>
      <w:r w:rsidRPr="001338CB">
        <w:rPr>
          <w:sz w:val="24"/>
        </w:rPr>
        <w:t xml:space="preserve"> </w:t>
      </w:r>
      <w:r w:rsidR="00F75562" w:rsidRPr="001338CB">
        <w:rPr>
          <w:sz w:val="24"/>
        </w:rPr>
        <w:t>2. O</w:t>
      </w:r>
      <w:r w:rsidR="00EB0E97" w:rsidRPr="001338CB">
        <w:rPr>
          <w:sz w:val="24"/>
        </w:rPr>
        <w:t>BJETIVO</w:t>
      </w:r>
      <w:r w:rsidR="00855B04" w:rsidRPr="001338CB">
        <w:rPr>
          <w:sz w:val="24"/>
        </w:rPr>
        <w:t xml:space="preserve">: </w:t>
      </w:r>
    </w:p>
    <w:p w:rsidR="001338CB" w:rsidRPr="001338CB" w:rsidRDefault="001A0686" w:rsidP="00F97835">
      <w:pPr>
        <w:spacing w:after="240"/>
        <w:rPr>
          <w:rFonts w:ascii="Arial" w:hAnsi="Arial" w:cs="Arial"/>
        </w:rPr>
      </w:pPr>
      <w:r w:rsidRPr="001338CB">
        <w:rPr>
          <w:rFonts w:ascii="Arial" w:hAnsi="Arial" w:cs="Arial"/>
        </w:rPr>
        <w:t>Proyectar los recursos necesarios que deberán ser incorporados en el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presupuesto de la siguiente vigencia para el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desarrollo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de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las actividades establecidas en los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proyectos y planes</w:t>
      </w:r>
      <w:r w:rsidR="00F97835">
        <w:rPr>
          <w:rFonts w:ascii="Arial" w:hAnsi="Arial" w:cs="Arial"/>
        </w:rPr>
        <w:t xml:space="preserve"> </w:t>
      </w:r>
      <w:r w:rsidRPr="001338CB">
        <w:rPr>
          <w:rFonts w:ascii="Arial" w:hAnsi="Arial" w:cs="Arial"/>
        </w:rPr>
        <w:t>institucionales.</w:t>
      </w:r>
    </w:p>
    <w:p w:rsidR="00033BAC" w:rsidRPr="001338CB" w:rsidRDefault="00F97835" w:rsidP="00033BAC">
      <w:pPr>
        <w:pStyle w:val="Ttulo2"/>
        <w:spacing w:after="240"/>
        <w:ind w:left="0"/>
        <w:rPr>
          <w:sz w:val="24"/>
        </w:rPr>
      </w:pPr>
      <w:r w:rsidRPr="00033BAC">
        <w:rPr>
          <w:sz w:val="24"/>
        </w:rPr>
        <w:t xml:space="preserve"> </w:t>
      </w:r>
      <w:r w:rsidR="00033BAC" w:rsidRPr="00033BAC">
        <w:rPr>
          <w:sz w:val="24"/>
        </w:rPr>
        <w:t>3</w:t>
      </w:r>
      <w:r w:rsidR="00033BAC" w:rsidRPr="001338CB">
        <w:rPr>
          <w:sz w:val="24"/>
        </w:rPr>
        <w:t xml:space="preserve">. </w:t>
      </w:r>
      <w:r w:rsidR="00033BAC" w:rsidRPr="00033BAC">
        <w:rPr>
          <w:sz w:val="24"/>
        </w:rPr>
        <w:t>ALCANCE</w:t>
      </w:r>
      <w:r w:rsidR="00033BAC" w:rsidRPr="001338CB">
        <w:rPr>
          <w:sz w:val="24"/>
        </w:rPr>
        <w:t xml:space="preserve">: </w:t>
      </w:r>
    </w:p>
    <w:p w:rsidR="005F3D8F" w:rsidRDefault="00010DC1" w:rsidP="00F97835">
      <w:pPr>
        <w:spacing w:after="240"/>
        <w:rPr>
          <w:b/>
        </w:rPr>
      </w:pPr>
      <w:r w:rsidRPr="001338CB">
        <w:rPr>
          <w:rFonts w:ascii="Arial" w:hAnsi="Arial" w:cs="Arial"/>
        </w:rPr>
        <w:t xml:space="preserve">El procedimiento inicia con la </w:t>
      </w:r>
      <w:r w:rsidR="00217F29" w:rsidRPr="001338CB">
        <w:rPr>
          <w:rFonts w:ascii="Arial" w:hAnsi="Arial" w:cs="Arial"/>
        </w:rPr>
        <w:t xml:space="preserve">elaboración del anteproyecto de presupuesto </w:t>
      </w:r>
      <w:r w:rsidRPr="001338CB">
        <w:rPr>
          <w:rFonts w:ascii="Arial" w:hAnsi="Arial" w:cs="Arial"/>
        </w:rPr>
        <w:t xml:space="preserve">y termina con </w:t>
      </w:r>
      <w:r w:rsidR="00217F29" w:rsidRPr="001338CB">
        <w:rPr>
          <w:rFonts w:ascii="Arial" w:hAnsi="Arial" w:cs="Arial"/>
        </w:rPr>
        <w:t>la adopción</w:t>
      </w:r>
      <w:r w:rsidR="000246DD">
        <w:rPr>
          <w:rFonts w:ascii="Arial" w:hAnsi="Arial" w:cs="Arial"/>
        </w:rPr>
        <w:t>,</w:t>
      </w:r>
      <w:r w:rsidR="00217F29" w:rsidRPr="001338CB">
        <w:rPr>
          <w:rFonts w:ascii="Arial" w:hAnsi="Arial" w:cs="Arial"/>
        </w:rPr>
        <w:t xml:space="preserve"> publicación</w:t>
      </w:r>
      <w:r w:rsidR="000246DD">
        <w:rPr>
          <w:rFonts w:ascii="Arial" w:hAnsi="Arial" w:cs="Arial"/>
        </w:rPr>
        <w:t xml:space="preserve"> y socialización</w:t>
      </w:r>
      <w:r w:rsidR="00217F29" w:rsidRPr="001338CB">
        <w:rPr>
          <w:rFonts w:ascii="Arial" w:hAnsi="Arial" w:cs="Arial"/>
        </w:rPr>
        <w:t xml:space="preserve"> del plan de adquisiciones de la entidad</w:t>
      </w:r>
      <w:r w:rsidR="00921D5E">
        <w:t>.</w:t>
      </w:r>
    </w:p>
    <w:p w:rsidR="00982471" w:rsidRDefault="004C7914" w:rsidP="00F97835">
      <w:pPr>
        <w:pStyle w:val="Ttulo2"/>
        <w:spacing w:after="240"/>
        <w:ind w:left="0"/>
        <w:rPr>
          <w:sz w:val="24"/>
        </w:rPr>
      </w:pPr>
      <w:r w:rsidRPr="005548F6">
        <w:rPr>
          <w:sz w:val="24"/>
        </w:rPr>
        <w:t>4. P</w:t>
      </w:r>
      <w:r w:rsidR="00EB0E97" w:rsidRPr="005548F6">
        <w:rPr>
          <w:sz w:val="24"/>
        </w:rPr>
        <w:t>OLÍTICAS DE OPERACIÓN</w:t>
      </w:r>
      <w:r w:rsidR="00565B47" w:rsidRPr="005548F6">
        <w:rPr>
          <w:sz w:val="24"/>
        </w:rPr>
        <w:t xml:space="preserve"> </w:t>
      </w:r>
    </w:p>
    <w:p w:rsidR="00010DC1" w:rsidRPr="00010DC1" w:rsidRDefault="00010DC1" w:rsidP="00AE7921">
      <w:pPr>
        <w:pStyle w:val="Prrafodelista"/>
        <w:numPr>
          <w:ilvl w:val="0"/>
          <w:numId w:val="36"/>
        </w:numPr>
        <w:spacing w:before="240"/>
        <w:rPr>
          <w:rFonts w:ascii="Arial" w:hAnsi="Arial" w:cs="Arial"/>
          <w:lang w:val="es-ES_tradnl"/>
        </w:rPr>
      </w:pPr>
      <w:r w:rsidRPr="00010DC1">
        <w:rPr>
          <w:rFonts w:ascii="Arial" w:hAnsi="Arial" w:cs="Arial"/>
          <w:lang w:val="es-ES_tradnl"/>
        </w:rPr>
        <w:t xml:space="preserve">La elaboración del plan anual de adquisiciones se debe iniciar los últimos quince días del mes de noviembre de cada año y se debe publicar a </w:t>
      </w:r>
      <w:proofErr w:type="spellStart"/>
      <w:proofErr w:type="gramStart"/>
      <w:r w:rsidRPr="00010DC1">
        <w:rPr>
          <w:rFonts w:ascii="Arial" w:hAnsi="Arial" w:cs="Arial"/>
          <w:lang w:val="es-ES_tradnl"/>
        </w:rPr>
        <w:t>mas</w:t>
      </w:r>
      <w:proofErr w:type="spellEnd"/>
      <w:proofErr w:type="gramEnd"/>
      <w:r w:rsidRPr="00010DC1">
        <w:rPr>
          <w:rFonts w:ascii="Arial" w:hAnsi="Arial" w:cs="Arial"/>
          <w:lang w:val="es-ES_tradnl"/>
        </w:rPr>
        <w:t xml:space="preserve"> tardar el 31 de enero de la vigencia a la cual corresponde.</w:t>
      </w:r>
    </w:p>
    <w:p w:rsidR="00010DC1" w:rsidRPr="00010DC1" w:rsidRDefault="00010DC1" w:rsidP="00AE7921">
      <w:pPr>
        <w:pStyle w:val="Prrafodelista"/>
        <w:numPr>
          <w:ilvl w:val="0"/>
          <w:numId w:val="36"/>
        </w:numPr>
        <w:spacing w:before="240"/>
        <w:contextualSpacing w:val="0"/>
        <w:rPr>
          <w:rFonts w:ascii="Arial" w:hAnsi="Arial" w:cs="Arial"/>
          <w:lang w:val="es-ES_tradnl"/>
        </w:rPr>
      </w:pPr>
      <w:r w:rsidRPr="00010DC1">
        <w:rPr>
          <w:rFonts w:ascii="Arial" w:hAnsi="Arial" w:cs="Arial"/>
          <w:lang w:val="es-ES_tradnl"/>
        </w:rPr>
        <w:t>Los recursos de los contratos que tengan un retraso en su ejecución de dos meses sin justa cau</w:t>
      </w:r>
      <w:r w:rsidR="00AE7921">
        <w:rPr>
          <w:rFonts w:ascii="Arial" w:hAnsi="Arial" w:cs="Arial"/>
          <w:lang w:val="es-ES_tradnl"/>
        </w:rPr>
        <w:t>sa, quedan a disposición de la O</w:t>
      </w:r>
      <w:r w:rsidRPr="00010DC1">
        <w:rPr>
          <w:rFonts w:ascii="Arial" w:hAnsi="Arial" w:cs="Arial"/>
          <w:lang w:val="es-ES_tradnl"/>
        </w:rPr>
        <w:t xml:space="preserve">ficina </w:t>
      </w:r>
      <w:r w:rsidR="00AE7921">
        <w:rPr>
          <w:rFonts w:ascii="Arial" w:hAnsi="Arial" w:cs="Arial"/>
          <w:lang w:val="es-ES_tradnl"/>
        </w:rPr>
        <w:t>Asesora de P</w:t>
      </w:r>
      <w:r w:rsidRPr="00010DC1">
        <w:rPr>
          <w:rFonts w:ascii="Arial" w:hAnsi="Arial" w:cs="Arial"/>
          <w:lang w:val="es-ES_tradnl"/>
        </w:rPr>
        <w:t xml:space="preserve">laneación para que sean </w:t>
      </w:r>
      <w:r w:rsidR="00FF7C31">
        <w:rPr>
          <w:rFonts w:ascii="Arial" w:hAnsi="Arial" w:cs="Arial"/>
          <w:lang w:val="es-ES_tradnl"/>
        </w:rPr>
        <w:t>r</w:t>
      </w:r>
      <w:r w:rsidRPr="00010DC1">
        <w:rPr>
          <w:rFonts w:ascii="Arial" w:hAnsi="Arial" w:cs="Arial"/>
          <w:lang w:val="es-ES_tradnl"/>
        </w:rPr>
        <w:t xml:space="preserve">easignados a un contrato que lo requiera. </w:t>
      </w:r>
    </w:p>
    <w:p w:rsidR="00010DC1" w:rsidRPr="00010DC1" w:rsidRDefault="00010DC1" w:rsidP="00AE7921">
      <w:pPr>
        <w:pStyle w:val="Prrafodelista"/>
        <w:numPr>
          <w:ilvl w:val="0"/>
          <w:numId w:val="36"/>
        </w:numPr>
        <w:spacing w:before="240"/>
        <w:contextualSpacing w:val="0"/>
        <w:rPr>
          <w:rFonts w:ascii="Arial" w:hAnsi="Arial" w:cs="Arial"/>
          <w:lang w:val="es-ES_tradnl"/>
        </w:rPr>
      </w:pPr>
      <w:r w:rsidRPr="00010DC1">
        <w:rPr>
          <w:rFonts w:ascii="Arial" w:hAnsi="Arial" w:cs="Arial"/>
          <w:lang w:val="es-ES_tradnl"/>
        </w:rPr>
        <w:t xml:space="preserve">Se procurará realizar modificaciones al plan de adquisiciones solamente cada dos meses, las cuales deben estar debidamente soportadas. Si se requiere, con la debida justificación, se realizarán modificaciones con una </w:t>
      </w:r>
      <w:proofErr w:type="spellStart"/>
      <w:r w:rsidRPr="00010DC1">
        <w:rPr>
          <w:rFonts w:ascii="Arial" w:hAnsi="Arial" w:cs="Arial"/>
          <w:lang w:val="es-ES_tradnl"/>
        </w:rPr>
        <w:t>periodcidad</w:t>
      </w:r>
      <w:proofErr w:type="spellEnd"/>
      <w:r w:rsidRPr="00010DC1">
        <w:rPr>
          <w:rFonts w:ascii="Arial" w:hAnsi="Arial" w:cs="Arial"/>
          <w:lang w:val="es-ES_tradnl"/>
        </w:rPr>
        <w:t xml:space="preserve"> diferente, y en ambos c</w:t>
      </w:r>
      <w:r w:rsidR="00AE7921">
        <w:rPr>
          <w:rFonts w:ascii="Arial" w:hAnsi="Arial" w:cs="Arial"/>
          <w:lang w:val="es-ES_tradnl"/>
        </w:rPr>
        <w:t>asos deberán ser aprobadas por Dirección G</w:t>
      </w:r>
      <w:r w:rsidRPr="00010DC1">
        <w:rPr>
          <w:rFonts w:ascii="Arial" w:hAnsi="Arial" w:cs="Arial"/>
          <w:lang w:val="es-ES_tradnl"/>
        </w:rPr>
        <w:t xml:space="preserve">eneral. </w:t>
      </w:r>
    </w:p>
    <w:p w:rsidR="00967893" w:rsidRPr="00010DC1" w:rsidRDefault="00010DC1" w:rsidP="00AE7921">
      <w:pPr>
        <w:pStyle w:val="Prrafodelista"/>
        <w:numPr>
          <w:ilvl w:val="0"/>
          <w:numId w:val="36"/>
        </w:numPr>
        <w:spacing w:before="240"/>
        <w:contextualSpacing w:val="0"/>
        <w:rPr>
          <w:lang w:val="es-ES_tradnl"/>
        </w:rPr>
      </w:pPr>
      <w:r w:rsidRPr="00010DC1">
        <w:rPr>
          <w:rFonts w:ascii="Arial" w:hAnsi="Arial" w:cs="Arial"/>
          <w:lang w:val="es-ES_tradnl"/>
        </w:rPr>
        <w:t>El trámite de Certificados de Disponibilidad Presupuestal CDP y los Registros Presupuestales- RP debe mantenerse al día por parte del proceso</w:t>
      </w:r>
      <w:r w:rsidR="00F97835">
        <w:rPr>
          <w:rFonts w:ascii="Arial" w:hAnsi="Arial" w:cs="Arial"/>
          <w:lang w:val="es-ES_tradnl"/>
        </w:rPr>
        <w:t xml:space="preserve"> </w:t>
      </w:r>
      <w:r w:rsidRPr="00010DC1">
        <w:rPr>
          <w:rFonts w:ascii="Arial" w:hAnsi="Arial" w:cs="Arial"/>
          <w:lang w:val="es-ES_tradnl"/>
        </w:rPr>
        <w:t>financiero con el objeto de que el plan de adquisiciones refleje una ejecución actualizada de cada uno de los contratos</w:t>
      </w:r>
      <w:r w:rsidRPr="00010DC1">
        <w:rPr>
          <w:lang w:val="es-ES_tradnl"/>
        </w:rPr>
        <w:t>.</w:t>
      </w:r>
    </w:p>
    <w:p w:rsidR="00967893" w:rsidRDefault="00967893" w:rsidP="00F97835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CO"/>
        </w:rPr>
        <w:t>5. NORMATIVIDAD</w:t>
      </w:r>
    </w:p>
    <w:p w:rsidR="00967893" w:rsidRDefault="00967893" w:rsidP="00967893">
      <w:pPr>
        <w:spacing w:after="240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 xml:space="preserve">Ver </w:t>
      </w:r>
      <w:proofErr w:type="spellStart"/>
      <w:r>
        <w:rPr>
          <w:rFonts w:ascii="Arial" w:hAnsi="Arial" w:cs="Arial"/>
          <w:bCs/>
          <w:lang w:val="es-CO"/>
        </w:rPr>
        <w:t>Normograma</w:t>
      </w:r>
      <w:proofErr w:type="spellEnd"/>
      <w:r>
        <w:rPr>
          <w:rFonts w:ascii="Arial" w:hAnsi="Arial" w:cs="Arial"/>
          <w:bCs/>
          <w:lang w:val="es-CO"/>
        </w:rPr>
        <w:t xml:space="preserve"> Institucional (Proceso Gestión Jurídica)</w:t>
      </w:r>
    </w:p>
    <w:p w:rsidR="00C056EE" w:rsidRPr="00B2515A" w:rsidRDefault="00967893" w:rsidP="00B2515A">
      <w:pPr>
        <w:rPr>
          <w:rFonts w:ascii="Arial" w:hAnsi="Arial" w:cs="Arial"/>
          <w:b/>
        </w:rPr>
      </w:pPr>
      <w:r w:rsidRPr="00B2515A">
        <w:rPr>
          <w:rFonts w:ascii="Arial" w:hAnsi="Arial" w:cs="Arial"/>
          <w:b/>
        </w:rPr>
        <w:t>6</w:t>
      </w:r>
      <w:r w:rsidR="005663AA" w:rsidRPr="00B2515A">
        <w:rPr>
          <w:rFonts w:ascii="Arial" w:hAnsi="Arial" w:cs="Arial"/>
          <w:b/>
        </w:rPr>
        <w:t xml:space="preserve">. </w:t>
      </w:r>
      <w:r w:rsidR="00EB0E97" w:rsidRPr="00B2515A">
        <w:rPr>
          <w:rFonts w:ascii="Arial" w:hAnsi="Arial" w:cs="Arial"/>
          <w:b/>
        </w:rPr>
        <w:t>DEFINICIONES</w:t>
      </w:r>
      <w:r w:rsidR="00C454C0" w:rsidRPr="00B2515A">
        <w:rPr>
          <w:rFonts w:ascii="Arial" w:hAnsi="Arial" w:cs="Arial"/>
          <w:b/>
        </w:rPr>
        <w:t xml:space="preserve"> </w:t>
      </w:r>
    </w:p>
    <w:p w:rsidR="00010DC1" w:rsidRPr="00F97835" w:rsidRDefault="00F97835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lastRenderedPageBreak/>
        <w:t>ANTEPROYECTO</w:t>
      </w:r>
      <w:r>
        <w:rPr>
          <w:rFonts w:ascii="Arial" w:hAnsi="Arial" w:cs="Arial"/>
          <w:bCs/>
          <w:lang w:val="es-CO"/>
        </w:rPr>
        <w:t xml:space="preserve"> </w:t>
      </w:r>
      <w:r w:rsidRPr="00F97835">
        <w:rPr>
          <w:rFonts w:ascii="Arial" w:hAnsi="Arial" w:cs="Arial"/>
          <w:bCs/>
          <w:lang w:val="es-CO"/>
        </w:rPr>
        <w:t>DE</w:t>
      </w:r>
      <w:r>
        <w:rPr>
          <w:rFonts w:ascii="Arial" w:hAnsi="Arial" w:cs="Arial"/>
          <w:bCs/>
          <w:lang w:val="es-CO"/>
        </w:rPr>
        <w:t xml:space="preserve"> </w:t>
      </w:r>
      <w:r w:rsidRPr="00F97835">
        <w:rPr>
          <w:rFonts w:ascii="Arial" w:hAnsi="Arial" w:cs="Arial"/>
          <w:bCs/>
          <w:lang w:val="es-CO"/>
        </w:rPr>
        <w:t xml:space="preserve">PRESUPUESTO: </w:t>
      </w:r>
      <w:r w:rsidR="0062416B" w:rsidRPr="00F97835">
        <w:rPr>
          <w:rFonts w:ascii="Arial" w:hAnsi="Arial" w:cs="Arial"/>
          <w:bCs/>
          <w:lang w:val="es-CO"/>
        </w:rPr>
        <w:t>Instrumento establecido</w:t>
      </w:r>
      <w:r>
        <w:rPr>
          <w:rFonts w:ascii="Arial" w:hAnsi="Arial" w:cs="Arial"/>
          <w:bCs/>
          <w:lang w:val="es-CO"/>
        </w:rPr>
        <w:t xml:space="preserve"> </w:t>
      </w:r>
      <w:r w:rsidR="0062416B" w:rsidRPr="00F97835">
        <w:rPr>
          <w:rFonts w:ascii="Arial" w:hAnsi="Arial" w:cs="Arial"/>
          <w:bCs/>
          <w:lang w:val="es-CO"/>
        </w:rPr>
        <w:t>por</w:t>
      </w:r>
      <w:r>
        <w:rPr>
          <w:rFonts w:ascii="Arial" w:hAnsi="Arial" w:cs="Arial"/>
          <w:bCs/>
          <w:lang w:val="es-CO"/>
        </w:rPr>
        <w:t xml:space="preserve"> </w:t>
      </w:r>
      <w:r w:rsidR="0062416B" w:rsidRPr="00F97835">
        <w:rPr>
          <w:rFonts w:ascii="Arial" w:hAnsi="Arial" w:cs="Arial"/>
          <w:bCs/>
          <w:lang w:val="es-CO"/>
        </w:rPr>
        <w:t>el</w:t>
      </w:r>
      <w:r>
        <w:rPr>
          <w:rFonts w:ascii="Arial" w:hAnsi="Arial" w:cs="Arial"/>
          <w:bCs/>
          <w:lang w:val="es-CO"/>
        </w:rPr>
        <w:t xml:space="preserve"> </w:t>
      </w:r>
      <w:proofErr w:type="spellStart"/>
      <w:r w:rsidR="0062416B" w:rsidRPr="00F97835">
        <w:rPr>
          <w:rFonts w:ascii="Arial" w:hAnsi="Arial" w:cs="Arial"/>
          <w:bCs/>
          <w:lang w:val="es-CO"/>
        </w:rPr>
        <w:t>Ministerio</w:t>
      </w:r>
      <w:proofErr w:type="gramStart"/>
      <w:r w:rsidR="0062416B" w:rsidRPr="00F97835">
        <w:rPr>
          <w:rFonts w:ascii="Arial" w:hAnsi="Arial" w:cs="Arial"/>
          <w:bCs/>
          <w:lang w:val="es-CO"/>
        </w:rPr>
        <w:t>,a</w:t>
      </w:r>
      <w:proofErr w:type="spellEnd"/>
      <w:proofErr w:type="gramEnd"/>
      <w:r>
        <w:rPr>
          <w:rFonts w:ascii="Arial" w:hAnsi="Arial" w:cs="Arial"/>
          <w:bCs/>
          <w:lang w:val="es-CO"/>
        </w:rPr>
        <w:t xml:space="preserve"> </w:t>
      </w:r>
      <w:r w:rsidR="0062416B" w:rsidRPr="00F97835">
        <w:rPr>
          <w:rFonts w:ascii="Arial" w:hAnsi="Arial" w:cs="Arial"/>
          <w:bCs/>
          <w:lang w:val="es-CO"/>
        </w:rPr>
        <w:t>través</w:t>
      </w:r>
      <w:r>
        <w:rPr>
          <w:rFonts w:ascii="Arial" w:hAnsi="Arial" w:cs="Arial"/>
          <w:bCs/>
          <w:lang w:val="es-CO"/>
        </w:rPr>
        <w:t xml:space="preserve"> </w:t>
      </w:r>
      <w:r w:rsidR="0062416B" w:rsidRPr="00F97835">
        <w:rPr>
          <w:rFonts w:ascii="Arial" w:hAnsi="Arial" w:cs="Arial"/>
          <w:bCs/>
          <w:lang w:val="es-CO"/>
        </w:rPr>
        <w:t xml:space="preserve">del cual, se proyectan en la vigencia presente las necesidades de adquisiciones de Bienes y </w:t>
      </w:r>
      <w:proofErr w:type="spellStart"/>
      <w:r w:rsidR="0062416B" w:rsidRPr="00F97835">
        <w:rPr>
          <w:rFonts w:ascii="Arial" w:hAnsi="Arial" w:cs="Arial"/>
          <w:bCs/>
          <w:lang w:val="es-CO"/>
        </w:rPr>
        <w:t>Serviciosde</w:t>
      </w:r>
      <w:proofErr w:type="spellEnd"/>
      <w:r w:rsidR="0062416B" w:rsidRPr="00F97835">
        <w:rPr>
          <w:rFonts w:ascii="Arial" w:hAnsi="Arial" w:cs="Arial"/>
          <w:bCs/>
          <w:lang w:val="es-CO"/>
        </w:rPr>
        <w:t xml:space="preserve"> la siguiente vigencia y su estimación presupuestal.</w:t>
      </w:r>
    </w:p>
    <w:p w:rsidR="00010DC1" w:rsidRPr="00F97835" w:rsidRDefault="00FF56E0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>CLASIFICADOR</w:t>
      </w:r>
      <w:r>
        <w:rPr>
          <w:rFonts w:ascii="Arial" w:hAnsi="Arial" w:cs="Arial"/>
          <w:bCs/>
          <w:lang w:val="es-CO"/>
        </w:rPr>
        <w:t xml:space="preserve"> </w:t>
      </w:r>
      <w:r w:rsidRPr="00F97835">
        <w:rPr>
          <w:rFonts w:ascii="Arial" w:hAnsi="Arial" w:cs="Arial"/>
          <w:bCs/>
          <w:lang w:val="es-CO"/>
        </w:rPr>
        <w:t>DE</w:t>
      </w:r>
      <w:r>
        <w:rPr>
          <w:rFonts w:ascii="Arial" w:hAnsi="Arial" w:cs="Arial"/>
          <w:bCs/>
          <w:lang w:val="es-CO"/>
        </w:rPr>
        <w:t xml:space="preserve"> </w:t>
      </w:r>
      <w:r w:rsidRPr="00F97835">
        <w:rPr>
          <w:rFonts w:ascii="Arial" w:hAnsi="Arial" w:cs="Arial"/>
          <w:bCs/>
          <w:lang w:val="es-CO"/>
        </w:rPr>
        <w:t>BIENES</w:t>
      </w:r>
      <w:r>
        <w:rPr>
          <w:rFonts w:ascii="Arial" w:hAnsi="Arial" w:cs="Arial"/>
          <w:bCs/>
          <w:lang w:val="es-CO"/>
        </w:rPr>
        <w:t xml:space="preserve"> </w:t>
      </w:r>
      <w:r w:rsidRPr="00F97835">
        <w:rPr>
          <w:rFonts w:ascii="Arial" w:hAnsi="Arial" w:cs="Arial"/>
          <w:bCs/>
          <w:lang w:val="es-CO"/>
        </w:rPr>
        <w:t>Y</w:t>
      </w:r>
      <w:r>
        <w:rPr>
          <w:rFonts w:ascii="Arial" w:hAnsi="Arial" w:cs="Arial"/>
          <w:bCs/>
          <w:lang w:val="es-CO"/>
        </w:rPr>
        <w:t xml:space="preserve"> </w:t>
      </w:r>
      <w:r w:rsidRPr="00F97835">
        <w:rPr>
          <w:rFonts w:ascii="Arial" w:hAnsi="Arial" w:cs="Arial"/>
          <w:bCs/>
          <w:lang w:val="es-CO"/>
        </w:rPr>
        <w:t xml:space="preserve">SERVICIOS </w:t>
      </w:r>
      <w:r w:rsidR="00010DC1" w:rsidRPr="00F97835">
        <w:rPr>
          <w:rFonts w:ascii="Arial" w:hAnsi="Arial" w:cs="Arial"/>
          <w:bCs/>
          <w:lang w:val="es-CO"/>
        </w:rPr>
        <w:t>- UNSPSC: Es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el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sistema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de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clasificación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que permite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codificar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productos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y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servicios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de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forma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clara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basada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en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los</w:t>
      </w:r>
      <w:r w:rsidR="00F97835">
        <w:rPr>
          <w:rFonts w:ascii="Arial" w:hAnsi="Arial" w:cs="Arial"/>
          <w:bCs/>
          <w:lang w:val="es-CO"/>
        </w:rPr>
        <w:t xml:space="preserve"> </w:t>
      </w:r>
      <w:r w:rsidR="00010DC1" w:rsidRPr="00F97835">
        <w:rPr>
          <w:rFonts w:ascii="Arial" w:hAnsi="Arial" w:cs="Arial"/>
          <w:bCs/>
          <w:lang w:val="es-CO"/>
        </w:rPr>
        <w:t>estándares acordados por la industria los cuales facilitan el comercio entre empresas y el gobierno.</w:t>
      </w:r>
    </w:p>
    <w:p w:rsidR="00D139C8" w:rsidRDefault="00D139C8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DNP:</w:t>
      </w:r>
      <w:r w:rsidRPr="00F97835">
        <w:rPr>
          <w:rFonts w:ascii="Arial" w:hAnsi="Arial" w:cs="Arial"/>
          <w:bCs/>
          <w:lang w:val="es-CO"/>
        </w:rPr>
        <w:t xml:space="preserve"> </w:t>
      </w:r>
      <w:r>
        <w:rPr>
          <w:rFonts w:ascii="Arial" w:hAnsi="Arial" w:cs="Arial"/>
          <w:bCs/>
          <w:lang w:val="es-CO"/>
        </w:rPr>
        <w:t xml:space="preserve">Departamento Nacional de </w:t>
      </w:r>
      <w:r w:rsidRPr="00F97835">
        <w:rPr>
          <w:rFonts w:ascii="Arial" w:hAnsi="Arial" w:cs="Arial"/>
          <w:bCs/>
          <w:lang w:val="es-CO"/>
        </w:rPr>
        <w:t>Plan</w:t>
      </w:r>
      <w:r>
        <w:rPr>
          <w:rFonts w:ascii="Arial" w:hAnsi="Arial" w:cs="Arial"/>
          <w:bCs/>
          <w:lang w:val="es-CO"/>
        </w:rPr>
        <w:t>eación</w:t>
      </w:r>
    </w:p>
    <w:p w:rsidR="00010DC1" w:rsidRPr="00F97835" w:rsidRDefault="00F97835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 xml:space="preserve">GASTOS COMUNES: </w:t>
      </w:r>
      <w:r w:rsidR="00010DC1" w:rsidRPr="00F97835">
        <w:rPr>
          <w:rFonts w:ascii="Arial" w:hAnsi="Arial" w:cs="Arial"/>
          <w:bCs/>
          <w:lang w:val="es-CO"/>
        </w:rPr>
        <w:t xml:space="preserve">Corresponden a aquellos gastos para la adquisición de un bien y/o servicio de uso trasversal que se requiera para la ejecución de las funciones propias de la entidad y de sus fondos cuenta con el fin de optimizar los recursos. </w:t>
      </w:r>
    </w:p>
    <w:p w:rsidR="00010DC1" w:rsidRPr="00F97835" w:rsidRDefault="00F97835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>HONORARIOS</w:t>
      </w:r>
      <w:r w:rsidR="00010DC1" w:rsidRPr="00F97835">
        <w:rPr>
          <w:rFonts w:ascii="Arial" w:hAnsi="Arial" w:cs="Arial"/>
          <w:bCs/>
          <w:lang w:val="es-CO"/>
        </w:rPr>
        <w:t>: Pagos correspondientes a servicios profesionales, prestados en forma transitoria y esporádica, por personas naturales o jurídicas, para desarrollar actividades requeridas por el INCI</w:t>
      </w:r>
    </w:p>
    <w:p w:rsidR="00010DC1" w:rsidRPr="00F97835" w:rsidRDefault="00F97835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 xml:space="preserve">MATERIALES Y SUMINISTROS: </w:t>
      </w:r>
      <w:r w:rsidR="00010DC1" w:rsidRPr="00F97835">
        <w:rPr>
          <w:rFonts w:ascii="Arial" w:hAnsi="Arial" w:cs="Arial"/>
          <w:bCs/>
          <w:lang w:val="es-CO"/>
        </w:rPr>
        <w:t>Adquisición de bienes tangibles e intangibles de consumo final o fungible que no se deban inventariar por las diferentes dependencias y no sean objeto de devolución.</w:t>
      </w:r>
    </w:p>
    <w:p w:rsidR="00010DC1" w:rsidRPr="00F97835" w:rsidRDefault="00F97835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>MANTENIMIENTO</w:t>
      </w:r>
      <w:r w:rsidR="00010DC1" w:rsidRPr="00F97835">
        <w:rPr>
          <w:rFonts w:ascii="Arial" w:hAnsi="Arial" w:cs="Arial"/>
          <w:bCs/>
          <w:lang w:val="es-CO"/>
        </w:rPr>
        <w:t>: Gastos tendientes a la conservación y reparación de bienes muebles e inmuebles</w:t>
      </w:r>
      <w:r>
        <w:rPr>
          <w:rFonts w:ascii="Arial" w:hAnsi="Arial" w:cs="Arial"/>
          <w:bCs/>
          <w:lang w:val="es-CO"/>
        </w:rPr>
        <w:t>.</w:t>
      </w:r>
    </w:p>
    <w:p w:rsidR="00FF7C31" w:rsidRPr="00F97835" w:rsidRDefault="00921384" w:rsidP="00FF56E0">
      <w:pPr>
        <w:spacing w:before="240" w:after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 xml:space="preserve">MARCO DE GASTO DE MEDIANO PLAZO </w:t>
      </w:r>
      <w:r>
        <w:rPr>
          <w:rFonts w:ascii="Arial" w:hAnsi="Arial" w:cs="Arial"/>
          <w:bCs/>
          <w:lang w:val="es-CO"/>
        </w:rPr>
        <w:t>–</w:t>
      </w:r>
      <w:r w:rsidR="00010DC1" w:rsidRPr="00F97835">
        <w:rPr>
          <w:rFonts w:ascii="Arial" w:hAnsi="Arial" w:cs="Arial"/>
          <w:bCs/>
          <w:lang w:val="es-CO"/>
        </w:rPr>
        <w:t>MGMP</w:t>
      </w:r>
      <w:r>
        <w:rPr>
          <w:rFonts w:ascii="Arial" w:hAnsi="Arial" w:cs="Arial"/>
          <w:bCs/>
          <w:lang w:val="es-CO"/>
        </w:rPr>
        <w:t>-</w:t>
      </w:r>
      <w:r w:rsidR="00921D5E" w:rsidRPr="00F97835">
        <w:rPr>
          <w:rFonts w:ascii="Arial" w:hAnsi="Arial" w:cs="Arial"/>
          <w:bCs/>
          <w:lang w:val="es-CO"/>
        </w:rPr>
        <w:t xml:space="preserve">: </w:t>
      </w:r>
      <w:r>
        <w:rPr>
          <w:rFonts w:ascii="Arial" w:hAnsi="Arial" w:cs="Arial"/>
          <w:bCs/>
          <w:lang w:val="es-CO"/>
        </w:rPr>
        <w:t>E</w:t>
      </w:r>
      <w:r w:rsidR="00FF7C31" w:rsidRPr="00F97835">
        <w:rPr>
          <w:rFonts w:ascii="Arial" w:hAnsi="Arial" w:cs="Arial"/>
          <w:bCs/>
          <w:lang w:val="es-CO"/>
        </w:rPr>
        <w:t xml:space="preserve">s la proyección y </w:t>
      </w:r>
      <w:proofErr w:type="spellStart"/>
      <w:r w:rsidR="00FF7C31" w:rsidRPr="00F97835">
        <w:rPr>
          <w:rFonts w:ascii="Arial" w:hAnsi="Arial" w:cs="Arial"/>
          <w:bCs/>
          <w:lang w:val="es-CO"/>
        </w:rPr>
        <w:t>repriorización</w:t>
      </w:r>
      <w:proofErr w:type="spellEnd"/>
      <w:r w:rsidR="00FF7C31" w:rsidRPr="00F97835">
        <w:rPr>
          <w:rFonts w:ascii="Arial" w:hAnsi="Arial" w:cs="Arial"/>
          <w:bCs/>
          <w:lang w:val="es-CO"/>
        </w:rPr>
        <w:t xml:space="preserve"> de gasto, a través del cual las decisiones presupuestales anuales son conducidas por prioridades de política y disciplinadas por una restricción de recursos de mediano plazo, como resultado de un proceso iterativo de toma de decisiones a través del cual se concilian las restricciones agregadas con la proyección de los costos sectoriales por parte del gobierno nacional.</w:t>
      </w:r>
    </w:p>
    <w:p w:rsidR="00FF7C31" w:rsidRPr="00F97835" w:rsidRDefault="00FF7C31" w:rsidP="00FF56E0">
      <w:pPr>
        <w:spacing w:before="240"/>
        <w:ind w:left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>Permite construir un escenario más predecible para la asignación y ejecución de los recursos públicos, al hacer explícitos los efectos y restricciones que las decisiones de gasto a</w:t>
      </w:r>
      <w:r w:rsidR="00F97835">
        <w:rPr>
          <w:rFonts w:ascii="Arial" w:hAnsi="Arial" w:cs="Arial"/>
          <w:bCs/>
          <w:lang w:val="es-CO"/>
        </w:rPr>
        <w:t>nual pueden tener en el futuro.</w:t>
      </w:r>
    </w:p>
    <w:p w:rsidR="00010DC1" w:rsidRPr="00F97835" w:rsidRDefault="00FF7C31" w:rsidP="00FF56E0">
      <w:pPr>
        <w:spacing w:before="240"/>
        <w:ind w:left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>El MGMP ofrece un punto de referencia a los sectores sobre los recursos presupuestales con los que podrían contar en los siguientes tres años si no se presentan cambios en la coyuntura económica, política o social. De esta forma, el MGMP facilita en gran medida el desarrollo de una gestión más eficiente y efectiva.</w:t>
      </w:r>
    </w:p>
    <w:p w:rsidR="00D139C8" w:rsidRDefault="00D139C8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MHCP:</w:t>
      </w:r>
      <w:r w:rsidRPr="00F97835">
        <w:rPr>
          <w:rFonts w:ascii="Arial" w:hAnsi="Arial" w:cs="Arial"/>
          <w:bCs/>
          <w:lang w:val="es-CO"/>
        </w:rPr>
        <w:t xml:space="preserve"> </w:t>
      </w:r>
      <w:r>
        <w:rPr>
          <w:rFonts w:ascii="Arial" w:hAnsi="Arial" w:cs="Arial"/>
          <w:bCs/>
          <w:lang w:val="es-CO"/>
        </w:rPr>
        <w:t>Ministerio de Hacienda y Crédito Público</w:t>
      </w:r>
    </w:p>
    <w:p w:rsidR="00010DC1" w:rsidRDefault="00F97835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lastRenderedPageBreak/>
        <w:t>PLAN ANUAL DE ADQUISICIONES</w:t>
      </w:r>
      <w:r>
        <w:rPr>
          <w:rFonts w:ascii="Arial" w:hAnsi="Arial" w:cs="Arial"/>
          <w:bCs/>
          <w:lang w:val="es-CO"/>
        </w:rPr>
        <w:t>:</w:t>
      </w:r>
      <w:r w:rsidRPr="00F97835">
        <w:rPr>
          <w:rFonts w:ascii="Arial" w:hAnsi="Arial" w:cs="Arial"/>
          <w:bCs/>
          <w:lang w:val="es-CO"/>
        </w:rPr>
        <w:t xml:space="preserve"> Las Entidades Estatales deben elaborar un Plan Anual de Adquisiciones, el cual debe contener la lista de bienes, obras y servicios que pretenden adquirir durante el año. En el Plan Anual de Adquisiciones, la Entidad Estatal debe señalar la necesidad y cuando conoce el bien, obra o servicio que satisface esa necesidad debe identificarlo utilizando el Clasificador de Bienes y Servicios, e indicar el valor estimado del contrato, el tipo de recursos con cargo a los cuales la Entidad Estatal pagará el bien, obra o servicio, la modalidad de selección del contratista, y la fecha aproximada en la cual la Entidad Estatal iniciará el Proceso de Contratación. Colombia Compra Eficiente establecerá los lineamientos y el formato que debe ser utilizado para elaborar el Plan Anual de Adquisiciones</w:t>
      </w:r>
      <w:r w:rsidR="00921384">
        <w:rPr>
          <w:rFonts w:ascii="Arial" w:hAnsi="Arial" w:cs="Arial"/>
          <w:bCs/>
          <w:lang w:val="es-CO"/>
        </w:rPr>
        <w:t>.</w:t>
      </w:r>
    </w:p>
    <w:p w:rsidR="00921384" w:rsidRDefault="00921384" w:rsidP="00FF56E0">
      <w:pPr>
        <w:spacing w:before="240"/>
        <w:ind w:left="284"/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 xml:space="preserve">Se </w:t>
      </w:r>
      <w:r w:rsidRPr="00921384">
        <w:rPr>
          <w:rFonts w:ascii="Arial" w:hAnsi="Arial" w:cs="Arial"/>
          <w:bCs/>
          <w:lang w:val="es-CO"/>
        </w:rPr>
        <w:t>debe actualizar el Plan Anual de Adquisiciones cuando: (i) haya ajustes en los cronogramas de adquisición, valores, modalidad de selección, origen de los recursos; (ii) para incluir nuevas obras, bienes y/o servicios; (iii) excluir obras, bienes y/o servicios; o (iv) modificar el presupuesto anual de adquisiciones.</w:t>
      </w:r>
    </w:p>
    <w:p w:rsidR="00010DC1" w:rsidRPr="00F97835" w:rsidRDefault="00F97835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 xml:space="preserve">REMUNERACIÓN SERVICIOS TÉCNICOS: </w:t>
      </w:r>
      <w:r w:rsidR="00010DC1" w:rsidRPr="00F97835">
        <w:rPr>
          <w:rFonts w:ascii="Arial" w:hAnsi="Arial" w:cs="Arial"/>
          <w:bCs/>
          <w:lang w:val="es-CO"/>
        </w:rPr>
        <w:t>Pago por servicios calificados a personas naturales o jurídicas los cuales no pueden ser atendidos con personal de planta o que se requieran conocimientos especializados y están sujetos al régimen contractual vigente.</w:t>
      </w:r>
    </w:p>
    <w:p w:rsidR="00010DC1" w:rsidRPr="00F97835" w:rsidRDefault="00F97835" w:rsidP="00FF56E0">
      <w:pPr>
        <w:spacing w:before="240"/>
        <w:ind w:left="284" w:hanging="284"/>
        <w:jc w:val="both"/>
        <w:rPr>
          <w:rFonts w:ascii="Arial" w:hAnsi="Arial" w:cs="Arial"/>
          <w:bCs/>
          <w:lang w:val="es-CO"/>
        </w:rPr>
      </w:pPr>
      <w:r w:rsidRPr="00F97835">
        <w:rPr>
          <w:rFonts w:ascii="Arial" w:hAnsi="Arial" w:cs="Arial"/>
          <w:bCs/>
          <w:lang w:val="es-CO"/>
        </w:rPr>
        <w:t>SECOP</w:t>
      </w:r>
      <w:r>
        <w:rPr>
          <w:rFonts w:ascii="Arial" w:hAnsi="Arial" w:cs="Arial"/>
          <w:bCs/>
          <w:lang w:val="es-CO"/>
        </w:rPr>
        <w:t>:</w:t>
      </w:r>
      <w:r w:rsidRPr="00F97835">
        <w:rPr>
          <w:rFonts w:ascii="Arial" w:hAnsi="Arial" w:cs="Arial"/>
          <w:bCs/>
          <w:lang w:val="es-CO"/>
        </w:rPr>
        <w:t xml:space="preserve"> Sistema Electrónico para la Contratación Pública al que se refiere el artículo 3 de la Ley 1150 de 2007.</w:t>
      </w:r>
    </w:p>
    <w:p w:rsidR="00B73802" w:rsidRPr="005548F6" w:rsidRDefault="00967893" w:rsidP="00921384">
      <w:pPr>
        <w:pStyle w:val="Ttulo2"/>
        <w:spacing w:before="240" w:after="240"/>
        <w:ind w:left="0"/>
        <w:rPr>
          <w:sz w:val="24"/>
        </w:rPr>
      </w:pPr>
      <w:r>
        <w:rPr>
          <w:sz w:val="24"/>
        </w:rPr>
        <w:t>7</w:t>
      </w:r>
      <w:r w:rsidR="005663AA" w:rsidRPr="005548F6">
        <w:rPr>
          <w:sz w:val="24"/>
        </w:rPr>
        <w:t xml:space="preserve">. </w:t>
      </w:r>
      <w:r w:rsidR="00B73802" w:rsidRPr="005548F6">
        <w:rPr>
          <w:sz w:val="24"/>
        </w:rPr>
        <w:t>ACTIVIDADES</w:t>
      </w:r>
    </w:p>
    <w:tbl>
      <w:tblPr>
        <w:tblStyle w:val="Tabladecuadrcula1clara"/>
        <w:tblW w:w="5000" w:type="pct"/>
        <w:tblLook w:val="06A0" w:firstRow="1" w:lastRow="0" w:firstColumn="1" w:lastColumn="0" w:noHBand="1" w:noVBand="1"/>
      </w:tblPr>
      <w:tblGrid>
        <w:gridCol w:w="568"/>
        <w:gridCol w:w="4882"/>
        <w:gridCol w:w="2219"/>
        <w:gridCol w:w="2222"/>
        <w:gridCol w:w="2219"/>
        <w:gridCol w:w="2622"/>
      </w:tblGrid>
      <w:tr w:rsidR="000948D3" w:rsidRPr="00970B14" w:rsidTr="00970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3976DB" w:rsidRPr="00970B14" w:rsidRDefault="003976DB" w:rsidP="00970B14">
            <w:pPr>
              <w:jc w:val="center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#</w:t>
            </w:r>
          </w:p>
        </w:tc>
        <w:tc>
          <w:tcPr>
            <w:tcW w:w="1657" w:type="pct"/>
            <w:vAlign w:val="center"/>
          </w:tcPr>
          <w:p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 xml:space="preserve">Descripción </w:t>
            </w:r>
            <w:r w:rsidR="00713633" w:rsidRPr="00970B14">
              <w:rPr>
                <w:rFonts w:ascii="Arial" w:hAnsi="Arial" w:cs="Arial"/>
              </w:rPr>
              <w:t>d</w:t>
            </w:r>
            <w:r w:rsidRPr="00970B14">
              <w:rPr>
                <w:rFonts w:ascii="Arial" w:hAnsi="Arial" w:cs="Arial"/>
              </w:rPr>
              <w:t xml:space="preserve">e </w:t>
            </w:r>
            <w:r w:rsidR="00713633" w:rsidRPr="00970B14">
              <w:rPr>
                <w:rFonts w:ascii="Arial" w:hAnsi="Arial" w:cs="Arial"/>
              </w:rPr>
              <w:t>l</w:t>
            </w:r>
            <w:r w:rsidRPr="00970B14">
              <w:rPr>
                <w:rFonts w:ascii="Arial" w:hAnsi="Arial" w:cs="Arial"/>
              </w:rPr>
              <w:t>a Actividad</w:t>
            </w:r>
          </w:p>
        </w:tc>
        <w:tc>
          <w:tcPr>
            <w:tcW w:w="753" w:type="pct"/>
            <w:vAlign w:val="center"/>
          </w:tcPr>
          <w:p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Responsable</w:t>
            </w:r>
          </w:p>
          <w:p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(Cargo)</w:t>
            </w:r>
          </w:p>
        </w:tc>
        <w:tc>
          <w:tcPr>
            <w:tcW w:w="754" w:type="pct"/>
            <w:vAlign w:val="center"/>
          </w:tcPr>
          <w:p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Dependencia</w:t>
            </w:r>
          </w:p>
        </w:tc>
        <w:tc>
          <w:tcPr>
            <w:tcW w:w="753" w:type="pct"/>
            <w:vAlign w:val="center"/>
          </w:tcPr>
          <w:p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Control</w:t>
            </w:r>
          </w:p>
          <w:p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(Si Aplica)</w:t>
            </w:r>
          </w:p>
        </w:tc>
        <w:tc>
          <w:tcPr>
            <w:tcW w:w="890" w:type="pct"/>
            <w:vAlign w:val="center"/>
          </w:tcPr>
          <w:p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70B14">
              <w:rPr>
                <w:rFonts w:ascii="Arial" w:hAnsi="Arial" w:cs="Arial"/>
              </w:rPr>
              <w:t>Registros</w:t>
            </w:r>
          </w:p>
        </w:tc>
      </w:tr>
      <w:tr w:rsidR="00DB1CE3" w:rsidRPr="00970B14" w:rsidTr="00970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DB1CE3" w:rsidRPr="00970B14" w:rsidRDefault="00DB1CE3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1657" w:type="pct"/>
            <w:vAlign w:val="center"/>
          </w:tcPr>
          <w:p w:rsidR="00DB1CE3" w:rsidRPr="00970B14" w:rsidRDefault="005966E5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Informar acerca </w:t>
            </w:r>
            <w:r w:rsidR="0062416B" w:rsidRPr="00970B14">
              <w:rPr>
                <w:rFonts w:ascii="Arial" w:hAnsi="Arial" w:cs="Arial"/>
              </w:rPr>
              <w:t xml:space="preserve">de la circular </w:t>
            </w:r>
            <w:r w:rsidR="00137F04" w:rsidRPr="00970B14">
              <w:rPr>
                <w:rFonts w:ascii="Arial" w:hAnsi="Arial" w:cs="Arial"/>
              </w:rPr>
              <w:t>del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137F04" w:rsidRPr="00970B14">
              <w:rPr>
                <w:rFonts w:ascii="Arial" w:hAnsi="Arial" w:cs="Arial"/>
              </w:rPr>
              <w:t xml:space="preserve">Ministerio de Hacienda y </w:t>
            </w:r>
            <w:proofErr w:type="spellStart"/>
            <w:r w:rsidR="00137F04" w:rsidRPr="00970B14">
              <w:rPr>
                <w:rFonts w:ascii="Arial" w:hAnsi="Arial" w:cs="Arial"/>
              </w:rPr>
              <w:t>Credito</w:t>
            </w:r>
            <w:proofErr w:type="spellEnd"/>
            <w:r w:rsidR="00137F04" w:rsidRPr="00970B14">
              <w:rPr>
                <w:rFonts w:ascii="Arial" w:hAnsi="Arial" w:cs="Arial"/>
              </w:rPr>
              <w:t xml:space="preserve"> Público </w:t>
            </w:r>
            <w:r w:rsidR="0062416B" w:rsidRPr="00970B14">
              <w:rPr>
                <w:rFonts w:ascii="Arial" w:hAnsi="Arial" w:cs="Arial"/>
              </w:rPr>
              <w:t>que establece los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62416B" w:rsidRPr="00970B14">
              <w:rPr>
                <w:rFonts w:ascii="Arial" w:hAnsi="Arial" w:cs="Arial"/>
              </w:rPr>
              <w:t>lineamientos</w:t>
            </w:r>
            <w:r w:rsidR="00137F04" w:rsidRPr="00970B14">
              <w:rPr>
                <w:rFonts w:ascii="Arial" w:hAnsi="Arial" w:cs="Arial"/>
              </w:rPr>
              <w:t xml:space="preserve">, </w:t>
            </w:r>
            <w:r w:rsidR="0062416B" w:rsidRPr="00970B14">
              <w:rPr>
                <w:rFonts w:ascii="Arial" w:hAnsi="Arial" w:cs="Arial"/>
              </w:rPr>
              <w:t>plazos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62416B" w:rsidRPr="00970B14">
              <w:rPr>
                <w:rFonts w:ascii="Arial" w:hAnsi="Arial" w:cs="Arial"/>
              </w:rPr>
              <w:t>e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62416B" w:rsidRPr="00970B14">
              <w:rPr>
                <w:rFonts w:ascii="Arial" w:hAnsi="Arial" w:cs="Arial"/>
              </w:rPr>
              <w:t>instrumentos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62416B" w:rsidRPr="00970B14">
              <w:rPr>
                <w:rFonts w:ascii="Arial" w:hAnsi="Arial" w:cs="Arial"/>
              </w:rPr>
              <w:t>a aplicar por</w:t>
            </w:r>
            <w:r w:rsidR="00A128FB" w:rsidRPr="00970B14">
              <w:rPr>
                <w:rFonts w:ascii="Arial" w:hAnsi="Arial" w:cs="Arial"/>
              </w:rPr>
              <w:t xml:space="preserve"> </w:t>
            </w:r>
            <w:r w:rsidR="0062416B" w:rsidRPr="00970B14">
              <w:rPr>
                <w:rFonts w:ascii="Arial" w:hAnsi="Arial" w:cs="Arial"/>
              </w:rPr>
              <w:t>cada</w:t>
            </w:r>
            <w:r w:rsidR="007B5693" w:rsidRPr="00970B14">
              <w:rPr>
                <w:rFonts w:ascii="Arial" w:hAnsi="Arial" w:cs="Arial"/>
              </w:rPr>
              <w:t xml:space="preserve"> </w:t>
            </w:r>
            <w:r w:rsidR="0062416B" w:rsidRPr="00970B14">
              <w:rPr>
                <w:rFonts w:ascii="Arial" w:hAnsi="Arial" w:cs="Arial"/>
              </w:rPr>
              <w:t>Dependencia para la construcción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62416B" w:rsidRPr="00970B14">
              <w:rPr>
                <w:rFonts w:ascii="Arial" w:hAnsi="Arial" w:cs="Arial"/>
              </w:rPr>
              <w:t>del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A128FB" w:rsidRPr="00970B14">
              <w:rPr>
                <w:rFonts w:ascii="Arial" w:hAnsi="Arial" w:cs="Arial"/>
              </w:rPr>
              <w:t>a</w:t>
            </w:r>
            <w:r w:rsidR="0062416B" w:rsidRPr="00970B14">
              <w:rPr>
                <w:rFonts w:ascii="Arial" w:hAnsi="Arial" w:cs="Arial"/>
              </w:rPr>
              <w:t>nteproyecto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62416B" w:rsidRPr="00970B14">
              <w:rPr>
                <w:rFonts w:ascii="Arial" w:hAnsi="Arial" w:cs="Arial"/>
              </w:rPr>
              <w:t>de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62416B" w:rsidRPr="00970B14">
              <w:rPr>
                <w:rFonts w:ascii="Arial" w:hAnsi="Arial" w:cs="Arial"/>
              </w:rPr>
              <w:t>la vigencia correspondiente</w:t>
            </w:r>
            <w:r w:rsidRPr="00970B14">
              <w:rPr>
                <w:rFonts w:ascii="Arial" w:hAnsi="Arial" w:cs="Arial"/>
              </w:rPr>
              <w:t>,</w:t>
            </w:r>
            <w:r w:rsidR="00AA0ECD" w:rsidRPr="00970B14">
              <w:rPr>
                <w:rFonts w:ascii="Arial" w:hAnsi="Arial" w:cs="Arial"/>
              </w:rPr>
              <w:t xml:space="preserve"> estableciendo los plazos y solicitando el envío de la información insumo para su elaboración de acuerdo con lo establecido en </w:t>
            </w:r>
            <w:r w:rsidR="00B34812" w:rsidRPr="00970B14">
              <w:rPr>
                <w:rFonts w:ascii="Arial" w:hAnsi="Arial" w:cs="Arial"/>
              </w:rPr>
              <w:t xml:space="preserve">dicha </w:t>
            </w:r>
            <w:r w:rsidR="00AA0ECD" w:rsidRPr="00970B14">
              <w:rPr>
                <w:rFonts w:ascii="Arial" w:hAnsi="Arial" w:cs="Arial"/>
              </w:rPr>
              <w:t>circular</w:t>
            </w:r>
          </w:p>
        </w:tc>
        <w:tc>
          <w:tcPr>
            <w:tcW w:w="753" w:type="pct"/>
            <w:vAlign w:val="center"/>
          </w:tcPr>
          <w:p w:rsidR="00DB1CE3" w:rsidRPr="00970B14" w:rsidRDefault="0062416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</w:tc>
        <w:tc>
          <w:tcPr>
            <w:tcW w:w="754" w:type="pct"/>
            <w:vAlign w:val="center"/>
          </w:tcPr>
          <w:p w:rsidR="00DB1CE3" w:rsidRPr="00970B14" w:rsidRDefault="0062416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DB1CE3" w:rsidRPr="00970B14" w:rsidRDefault="0062416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DB1CE3" w:rsidRPr="00970B14" w:rsidRDefault="0062416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Circular Ministerio de Hacienda y </w:t>
            </w:r>
            <w:proofErr w:type="spellStart"/>
            <w:r w:rsidRPr="00970B14">
              <w:rPr>
                <w:rFonts w:ascii="Arial" w:hAnsi="Arial" w:cs="Arial"/>
              </w:rPr>
              <w:t>Credito</w:t>
            </w:r>
            <w:proofErr w:type="spellEnd"/>
            <w:r w:rsidRPr="00970B14">
              <w:rPr>
                <w:rFonts w:ascii="Arial" w:hAnsi="Arial" w:cs="Arial"/>
              </w:rPr>
              <w:t xml:space="preserve"> Público </w:t>
            </w:r>
            <w:proofErr w:type="spellStart"/>
            <w:r w:rsidRPr="00970B14">
              <w:rPr>
                <w:rFonts w:ascii="Arial" w:hAnsi="Arial" w:cs="Arial"/>
              </w:rPr>
              <w:t>Público</w:t>
            </w:r>
            <w:proofErr w:type="spellEnd"/>
          </w:p>
          <w:p w:rsidR="00AA0ECD" w:rsidRPr="00970B14" w:rsidRDefault="00AA0EC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966E5" w:rsidRPr="00970B14" w:rsidRDefault="002E3722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Correo </w:t>
            </w:r>
            <w:proofErr w:type="spellStart"/>
            <w:r w:rsidRPr="00970B14">
              <w:rPr>
                <w:rFonts w:ascii="Arial" w:hAnsi="Arial" w:cs="Arial"/>
              </w:rPr>
              <w:t>Electronico</w:t>
            </w:r>
            <w:proofErr w:type="spellEnd"/>
            <w:r w:rsidRPr="00970B14">
              <w:rPr>
                <w:rFonts w:ascii="Arial" w:hAnsi="Arial" w:cs="Arial"/>
              </w:rPr>
              <w:t xml:space="preserve"> o </w:t>
            </w:r>
            <w:r w:rsidR="00AA0ECD" w:rsidRPr="00970B14">
              <w:rPr>
                <w:rFonts w:ascii="Arial" w:hAnsi="Arial" w:cs="Arial"/>
              </w:rPr>
              <w:t>Memorando</w:t>
            </w:r>
          </w:p>
        </w:tc>
      </w:tr>
      <w:tr w:rsidR="00A128FB" w:rsidRPr="00970B14" w:rsidTr="00970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A128FB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1657" w:type="pct"/>
            <w:vAlign w:val="center"/>
          </w:tcPr>
          <w:p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Definir y priorizar las necesidades manifestadas por cada dependencia para elaborar el anteproyecto de presupuesto en los respectivos instrumentos tanto para los gastos de funcionamiento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como para el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rubro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de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inversión conforme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lastRenderedPageBreak/>
              <w:t>al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 xml:space="preserve">techo presupuestal asignado por </w:t>
            </w:r>
            <w:r w:rsidR="008F327D" w:rsidRPr="00970B14">
              <w:rPr>
                <w:rFonts w:ascii="Arial" w:hAnsi="Arial" w:cs="Arial"/>
              </w:rPr>
              <w:t xml:space="preserve">el </w:t>
            </w:r>
            <w:r w:rsidRPr="00970B14">
              <w:rPr>
                <w:rFonts w:ascii="Arial" w:hAnsi="Arial" w:cs="Arial"/>
              </w:rPr>
              <w:t>MHCP</w:t>
            </w:r>
          </w:p>
        </w:tc>
        <w:tc>
          <w:tcPr>
            <w:tcW w:w="753" w:type="pct"/>
            <w:vAlign w:val="center"/>
          </w:tcPr>
          <w:p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lastRenderedPageBreak/>
              <w:t>Jefe Oficina Asesora de Planeación</w:t>
            </w:r>
          </w:p>
          <w:p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A128FB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A128FB" w:rsidRPr="00970B14" w:rsidRDefault="00241A3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Instrumentos </w:t>
            </w:r>
            <w:r w:rsidR="00380BE5" w:rsidRPr="00970B14">
              <w:rPr>
                <w:rFonts w:ascii="Arial" w:hAnsi="Arial" w:cs="Arial"/>
              </w:rPr>
              <w:t xml:space="preserve">establecidos por el </w:t>
            </w:r>
            <w:r w:rsidRPr="00970B14">
              <w:rPr>
                <w:rFonts w:ascii="Arial" w:hAnsi="Arial" w:cs="Arial"/>
              </w:rPr>
              <w:t>Ministerio de Hacienda y Crédito Público</w:t>
            </w:r>
          </w:p>
        </w:tc>
      </w:tr>
      <w:tr w:rsidR="00A128FB" w:rsidRPr="00970B14" w:rsidTr="00970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A128FB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1657" w:type="pct"/>
            <w:vAlign w:val="center"/>
          </w:tcPr>
          <w:p w:rsidR="001338C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Presentar </w:t>
            </w:r>
            <w:r w:rsidR="00AE7921" w:rsidRPr="00970B14">
              <w:rPr>
                <w:rFonts w:ascii="Arial" w:hAnsi="Arial" w:cs="Arial"/>
              </w:rPr>
              <w:t xml:space="preserve">o enviar </w:t>
            </w:r>
            <w:r w:rsidRPr="00970B14">
              <w:rPr>
                <w:rFonts w:ascii="Arial" w:hAnsi="Arial" w:cs="Arial"/>
              </w:rPr>
              <w:t>al Comité Institucional de Gestión y Desempeño la información consolidada del anteproyecto</w:t>
            </w:r>
          </w:p>
          <w:p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Si</w:t>
            </w:r>
            <w:r w:rsidR="00AA0ECD" w:rsidRPr="00970B14">
              <w:rPr>
                <w:rFonts w:ascii="Arial" w:hAnsi="Arial" w:cs="Arial"/>
              </w:rPr>
              <w:t xml:space="preserve"> la información es coherente se c</w:t>
            </w:r>
            <w:r w:rsidRPr="00970B14">
              <w:rPr>
                <w:rFonts w:ascii="Arial" w:hAnsi="Arial" w:cs="Arial"/>
              </w:rPr>
              <w:t xml:space="preserve">ontinúa en la actividad </w:t>
            </w:r>
            <w:r w:rsidR="00AA0ECD" w:rsidRPr="00970B14">
              <w:rPr>
                <w:rFonts w:ascii="Arial" w:hAnsi="Arial" w:cs="Arial"/>
              </w:rPr>
              <w:t>4</w:t>
            </w:r>
            <w:r w:rsidRPr="00970B14">
              <w:rPr>
                <w:rFonts w:ascii="Arial" w:hAnsi="Arial" w:cs="Arial"/>
              </w:rPr>
              <w:t xml:space="preserve"> </w:t>
            </w:r>
            <w:r w:rsidR="00AA0ECD" w:rsidRPr="00970B14">
              <w:rPr>
                <w:rFonts w:ascii="Arial" w:hAnsi="Arial" w:cs="Arial"/>
              </w:rPr>
              <w:t>de lo contrario se realizan los ajustes pertinentes con cada líder de proceso</w:t>
            </w:r>
          </w:p>
        </w:tc>
        <w:tc>
          <w:tcPr>
            <w:tcW w:w="753" w:type="pct"/>
            <w:vAlign w:val="center"/>
          </w:tcPr>
          <w:p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</w:tc>
        <w:tc>
          <w:tcPr>
            <w:tcW w:w="754" w:type="pct"/>
            <w:vAlign w:val="center"/>
          </w:tcPr>
          <w:p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A128FB" w:rsidRPr="00970B14" w:rsidRDefault="00A128F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Revisar que la información </w:t>
            </w:r>
            <w:r w:rsidR="00650E52" w:rsidRPr="00970B14">
              <w:rPr>
                <w:rFonts w:ascii="Arial" w:hAnsi="Arial" w:cs="Arial"/>
              </w:rPr>
              <w:t>presentada es coherente con las metas de la entidad y con el techo presupuestal vigente</w:t>
            </w:r>
          </w:p>
        </w:tc>
        <w:tc>
          <w:tcPr>
            <w:tcW w:w="890" w:type="pct"/>
            <w:vAlign w:val="center"/>
          </w:tcPr>
          <w:p w:rsidR="00A128FB" w:rsidRPr="00970B14" w:rsidRDefault="00B949F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Acta de reunión</w:t>
            </w:r>
          </w:p>
          <w:p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</w:t>
            </w:r>
          </w:p>
          <w:p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Correo electrónico</w:t>
            </w:r>
          </w:p>
        </w:tc>
      </w:tr>
      <w:tr w:rsidR="0062416B" w:rsidRPr="00970B14" w:rsidTr="00970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62416B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1657" w:type="pct"/>
            <w:vAlign w:val="center"/>
          </w:tcPr>
          <w:p w:rsidR="0062416B" w:rsidRPr="00970B14" w:rsidRDefault="00DE4DD7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Registrar la información del anteproyecto de presupuesto en el Sistema de Información Financiera SIIF</w:t>
            </w:r>
            <w:r w:rsidR="00AE7921" w:rsidRPr="00970B14">
              <w:rPr>
                <w:rFonts w:ascii="Arial" w:hAnsi="Arial" w:cs="Arial"/>
              </w:rPr>
              <w:t xml:space="preserve"> del MHCP</w:t>
            </w:r>
          </w:p>
        </w:tc>
        <w:tc>
          <w:tcPr>
            <w:tcW w:w="753" w:type="pct"/>
            <w:vAlign w:val="center"/>
          </w:tcPr>
          <w:p w:rsidR="0062416B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:rsidR="0062416B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62416B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62416B" w:rsidRPr="00970B14" w:rsidRDefault="00241A3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Sistema de Información Financiera SIIF</w:t>
            </w:r>
          </w:p>
        </w:tc>
      </w:tr>
      <w:tr w:rsidR="008F327D" w:rsidRPr="00970B14" w:rsidTr="00970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8F327D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1657" w:type="pct"/>
            <w:vAlign w:val="center"/>
          </w:tcPr>
          <w:p w:rsidR="008F327D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Enviar al Ministerio de Hacienda y Crédito Público la información del anteproyecto en los respectivos instrumentos, </w:t>
            </w:r>
            <w:r w:rsidR="002E3722" w:rsidRPr="00970B14">
              <w:rPr>
                <w:rFonts w:ascii="Arial" w:hAnsi="Arial" w:cs="Arial"/>
              </w:rPr>
              <w:t>incluyendo:</w:t>
            </w:r>
            <w:r w:rsidRPr="00970B14">
              <w:rPr>
                <w:rFonts w:ascii="Arial" w:hAnsi="Arial" w:cs="Arial"/>
              </w:rPr>
              <w:t xml:space="preserve"> a) </w:t>
            </w:r>
            <w:r w:rsidR="002E3722" w:rsidRPr="00970B14">
              <w:rPr>
                <w:rFonts w:ascii="Arial" w:hAnsi="Arial" w:cs="Arial"/>
              </w:rPr>
              <w:t>El</w:t>
            </w:r>
            <w:r w:rsidRPr="00970B14">
              <w:rPr>
                <w:rFonts w:ascii="Arial" w:hAnsi="Arial" w:cs="Arial"/>
              </w:rPr>
              <w:t xml:space="preserve"> </w:t>
            </w:r>
            <w:r w:rsidR="002E3722" w:rsidRPr="00970B14">
              <w:rPr>
                <w:rFonts w:ascii="Arial" w:hAnsi="Arial" w:cs="Arial"/>
              </w:rPr>
              <w:t xml:space="preserve">instrumento establecido por el MHCP con la </w:t>
            </w:r>
            <w:r w:rsidRPr="00970B14">
              <w:rPr>
                <w:rFonts w:ascii="Arial" w:hAnsi="Arial" w:cs="Arial"/>
              </w:rPr>
              <w:t xml:space="preserve">versión </w:t>
            </w:r>
            <w:r w:rsidR="002E3722" w:rsidRPr="00970B14">
              <w:rPr>
                <w:rFonts w:ascii="Arial" w:hAnsi="Arial" w:cs="Arial"/>
              </w:rPr>
              <w:t xml:space="preserve">y asignación </w:t>
            </w:r>
            <w:r w:rsidRPr="00970B14">
              <w:rPr>
                <w:rFonts w:ascii="Arial" w:hAnsi="Arial" w:cs="Arial"/>
              </w:rPr>
              <w:t>oficial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del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anteproyecto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de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presupuesto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registrada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en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SIIF</w:t>
            </w:r>
          </w:p>
          <w:p w:rsidR="008F327D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b) Justificación escrita </w:t>
            </w:r>
            <w:r w:rsidR="002E3722" w:rsidRPr="00970B14">
              <w:rPr>
                <w:rFonts w:ascii="Arial" w:hAnsi="Arial" w:cs="Arial"/>
              </w:rPr>
              <w:t xml:space="preserve">de los valores reportados y si se observa </w:t>
            </w:r>
            <w:r w:rsidRPr="00970B14">
              <w:rPr>
                <w:rFonts w:ascii="Arial" w:hAnsi="Arial" w:cs="Arial"/>
              </w:rPr>
              <w:t>déficit</w:t>
            </w:r>
            <w:r w:rsidR="002E3722" w:rsidRPr="00970B14">
              <w:rPr>
                <w:rFonts w:ascii="Arial" w:hAnsi="Arial" w:cs="Arial"/>
              </w:rPr>
              <w:t xml:space="preserve"> en la asignación, reportar las necesidades</w:t>
            </w:r>
            <w:r w:rsidRPr="00970B14">
              <w:rPr>
                <w:rFonts w:ascii="Arial" w:hAnsi="Arial" w:cs="Arial"/>
              </w:rPr>
              <w:t xml:space="preserve"> </w:t>
            </w:r>
            <w:r w:rsidR="002E3722" w:rsidRPr="00970B14">
              <w:rPr>
                <w:rFonts w:ascii="Arial" w:hAnsi="Arial" w:cs="Arial"/>
              </w:rPr>
              <w:t>en</w:t>
            </w:r>
            <w:r w:rsidRPr="00970B14">
              <w:rPr>
                <w:rFonts w:ascii="Arial" w:hAnsi="Arial" w:cs="Arial"/>
              </w:rPr>
              <w:t xml:space="preserve"> los rubros</w:t>
            </w:r>
            <w:r w:rsidR="002E3722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 xml:space="preserve"> presupuestales</w:t>
            </w:r>
            <w:r w:rsidR="002E3722" w:rsidRPr="00970B14">
              <w:rPr>
                <w:rFonts w:ascii="Arial" w:hAnsi="Arial" w:cs="Arial"/>
              </w:rPr>
              <w:t xml:space="preserve"> que lo requieran</w:t>
            </w:r>
          </w:p>
        </w:tc>
        <w:tc>
          <w:tcPr>
            <w:tcW w:w="753" w:type="pct"/>
            <w:vAlign w:val="center"/>
          </w:tcPr>
          <w:p w:rsidR="008F327D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</w:tc>
        <w:tc>
          <w:tcPr>
            <w:tcW w:w="754" w:type="pct"/>
            <w:vAlign w:val="center"/>
          </w:tcPr>
          <w:p w:rsidR="008F327D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8F327D" w:rsidRPr="00970B14" w:rsidRDefault="008F327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8F327D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Correo electrónico con </w:t>
            </w:r>
            <w:r w:rsidR="00241A3B" w:rsidRPr="00970B14">
              <w:rPr>
                <w:rFonts w:ascii="Arial" w:hAnsi="Arial" w:cs="Arial"/>
              </w:rPr>
              <w:t>Instrumentos Ministerio de Hacienda y Crédito Público</w:t>
            </w: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1657" w:type="pct"/>
            <w:vAlign w:val="center"/>
          </w:tcPr>
          <w:p w:rsidR="00E37C04" w:rsidRPr="00970B14" w:rsidRDefault="005966E5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Diligenciar </w:t>
            </w:r>
            <w:r w:rsidR="002E3722" w:rsidRPr="00970B14">
              <w:rPr>
                <w:rFonts w:ascii="Arial" w:hAnsi="Arial" w:cs="Arial"/>
              </w:rPr>
              <w:t>p</w:t>
            </w:r>
            <w:r w:rsidRPr="00970B14">
              <w:rPr>
                <w:rFonts w:ascii="Arial" w:hAnsi="Arial" w:cs="Arial"/>
              </w:rPr>
              <w:t>ropue</w:t>
            </w:r>
            <w:r w:rsidR="002E3722" w:rsidRPr="00970B14">
              <w:rPr>
                <w:rFonts w:ascii="Arial" w:hAnsi="Arial" w:cs="Arial"/>
              </w:rPr>
              <w:t>sta d</w:t>
            </w:r>
            <w:r w:rsidR="00E37C04" w:rsidRPr="00970B14">
              <w:rPr>
                <w:rFonts w:ascii="Arial" w:hAnsi="Arial" w:cs="Arial"/>
              </w:rPr>
              <w:t>el Marco del Gasto de Mediano Plazo teniendo en cuenta las directrices del Departamento Nacional de Planeación, el MHCP y el M</w:t>
            </w:r>
            <w:r w:rsidR="00241A3B" w:rsidRPr="00970B14">
              <w:rPr>
                <w:rFonts w:ascii="Arial" w:hAnsi="Arial" w:cs="Arial"/>
              </w:rPr>
              <w:t xml:space="preserve">inisterio de </w:t>
            </w:r>
            <w:r w:rsidR="00E37C04" w:rsidRPr="00970B14">
              <w:rPr>
                <w:rFonts w:ascii="Arial" w:hAnsi="Arial" w:cs="Arial"/>
              </w:rPr>
              <w:t>E</w:t>
            </w:r>
            <w:r w:rsidR="00241A3B" w:rsidRPr="00970B14">
              <w:rPr>
                <w:rFonts w:ascii="Arial" w:hAnsi="Arial" w:cs="Arial"/>
              </w:rPr>
              <w:t>d</w:t>
            </w:r>
            <w:r w:rsidR="00AA0ECD" w:rsidRPr="00970B14">
              <w:rPr>
                <w:rFonts w:ascii="Arial" w:hAnsi="Arial" w:cs="Arial"/>
              </w:rPr>
              <w:t>u</w:t>
            </w:r>
            <w:r w:rsidR="00241A3B" w:rsidRPr="00970B14">
              <w:rPr>
                <w:rFonts w:ascii="Arial" w:hAnsi="Arial" w:cs="Arial"/>
              </w:rPr>
              <w:t>cación Nacional</w:t>
            </w:r>
            <w:r w:rsidR="00E37C04" w:rsidRPr="00970B14">
              <w:rPr>
                <w:rFonts w:ascii="Arial" w:hAnsi="Arial" w:cs="Arial"/>
              </w:rPr>
              <w:t>.</w:t>
            </w:r>
          </w:p>
        </w:tc>
        <w:tc>
          <w:tcPr>
            <w:tcW w:w="753" w:type="pct"/>
            <w:vAlign w:val="center"/>
          </w:tcPr>
          <w:p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  <w:p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37C04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E37C04" w:rsidRPr="00970B14" w:rsidRDefault="00241A3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Instrumentos </w:t>
            </w:r>
            <w:r w:rsidR="00380BE5" w:rsidRPr="00970B14">
              <w:rPr>
                <w:rFonts w:ascii="Arial" w:hAnsi="Arial" w:cs="Arial"/>
              </w:rPr>
              <w:t xml:space="preserve">establecidos por el </w:t>
            </w:r>
            <w:r w:rsidRPr="00970B14">
              <w:rPr>
                <w:rFonts w:ascii="Arial" w:hAnsi="Arial" w:cs="Arial"/>
              </w:rPr>
              <w:t xml:space="preserve">Departamento Nacional de Planeación y </w:t>
            </w:r>
            <w:r w:rsidR="00380BE5" w:rsidRPr="00970B14">
              <w:rPr>
                <w:rFonts w:ascii="Arial" w:hAnsi="Arial" w:cs="Arial"/>
              </w:rPr>
              <w:t xml:space="preserve">el </w:t>
            </w:r>
            <w:r w:rsidRPr="00970B14">
              <w:rPr>
                <w:rFonts w:ascii="Arial" w:hAnsi="Arial" w:cs="Arial"/>
              </w:rPr>
              <w:t>Ministerio de Hacienda y Crédito Público</w:t>
            </w: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1657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Presentar </w:t>
            </w:r>
            <w:r w:rsidR="00AE7921" w:rsidRPr="00970B14">
              <w:rPr>
                <w:rFonts w:ascii="Arial" w:hAnsi="Arial" w:cs="Arial"/>
              </w:rPr>
              <w:t xml:space="preserve">o enviar </w:t>
            </w:r>
            <w:r w:rsidRPr="00970B14">
              <w:rPr>
                <w:rFonts w:ascii="Arial" w:hAnsi="Arial" w:cs="Arial"/>
              </w:rPr>
              <w:t>al Comité Institucional de Gestión y Desempeño la información consolidada de la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Pr="00970B14">
              <w:rPr>
                <w:rFonts w:ascii="Arial" w:hAnsi="Arial" w:cs="Arial"/>
              </w:rPr>
              <w:t>proyección de recursos para los próximos 4 años (MGMP)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planeación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90" w:type="pct"/>
            <w:vAlign w:val="center"/>
          </w:tcPr>
          <w:p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Acta de reunión</w:t>
            </w:r>
          </w:p>
          <w:p w:rsidR="00AE7921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</w:t>
            </w:r>
          </w:p>
          <w:p w:rsidR="00E37C04" w:rsidRPr="00970B14" w:rsidRDefault="00AE792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Correo electrónico</w:t>
            </w: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1657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Presentar la propuesta en la mesa del Com</w:t>
            </w:r>
            <w:r w:rsidR="005966E5" w:rsidRPr="00970B14">
              <w:rPr>
                <w:rFonts w:ascii="Arial" w:hAnsi="Arial" w:cs="Arial"/>
              </w:rPr>
              <w:t xml:space="preserve">ité Sectorial de Educación </w:t>
            </w:r>
            <w:r w:rsidR="008B1573" w:rsidRPr="00970B14">
              <w:rPr>
                <w:rFonts w:ascii="Arial" w:hAnsi="Arial" w:cs="Arial"/>
              </w:rPr>
              <w:t xml:space="preserve">del </w:t>
            </w:r>
            <w:r w:rsidR="005966E5" w:rsidRPr="00970B14">
              <w:rPr>
                <w:rFonts w:ascii="Arial" w:hAnsi="Arial" w:cs="Arial"/>
              </w:rPr>
              <w:t>MGMP</w:t>
            </w:r>
          </w:p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Si</w:t>
            </w:r>
            <w:r w:rsidR="00AA0ECD" w:rsidRPr="00970B14">
              <w:rPr>
                <w:rFonts w:ascii="Arial" w:hAnsi="Arial" w:cs="Arial"/>
              </w:rPr>
              <w:t xml:space="preserve"> se aprueba se c</w:t>
            </w:r>
            <w:r w:rsidRPr="00970B14">
              <w:rPr>
                <w:rFonts w:ascii="Arial" w:hAnsi="Arial" w:cs="Arial"/>
              </w:rPr>
              <w:t xml:space="preserve">ontinúa </w:t>
            </w:r>
            <w:r w:rsidR="00AA0ECD" w:rsidRPr="00970B14">
              <w:rPr>
                <w:rFonts w:ascii="Arial" w:hAnsi="Arial" w:cs="Arial"/>
              </w:rPr>
              <w:t xml:space="preserve">con </w:t>
            </w:r>
            <w:r w:rsidRPr="00970B14">
              <w:rPr>
                <w:rFonts w:ascii="Arial" w:hAnsi="Arial" w:cs="Arial"/>
              </w:rPr>
              <w:t>la actividad 9</w:t>
            </w:r>
            <w:r w:rsidR="00AA0ECD" w:rsidRPr="00970B14">
              <w:rPr>
                <w:rFonts w:ascii="Arial" w:hAnsi="Arial" w:cs="Arial"/>
              </w:rPr>
              <w:t>, de l</w:t>
            </w:r>
            <w:r w:rsidRPr="00970B14">
              <w:rPr>
                <w:rFonts w:ascii="Arial" w:hAnsi="Arial" w:cs="Arial"/>
              </w:rPr>
              <w:t>o</w:t>
            </w:r>
            <w:r w:rsidR="00AA0ECD" w:rsidRPr="00970B14">
              <w:rPr>
                <w:rFonts w:ascii="Arial" w:hAnsi="Arial" w:cs="Arial"/>
              </w:rPr>
              <w:t xml:space="preserve"> contrario se realizan los</w:t>
            </w:r>
            <w:r w:rsidRPr="00970B14">
              <w:rPr>
                <w:rFonts w:ascii="Arial" w:hAnsi="Arial" w:cs="Arial"/>
              </w:rPr>
              <w:t xml:space="preserve"> ajustes o </w:t>
            </w:r>
            <w:r w:rsidR="00AA0ECD" w:rsidRPr="00970B14">
              <w:rPr>
                <w:rFonts w:ascii="Arial" w:hAnsi="Arial" w:cs="Arial"/>
              </w:rPr>
              <w:t xml:space="preserve">se amplía </w:t>
            </w:r>
            <w:r w:rsidRPr="00970B14">
              <w:rPr>
                <w:rFonts w:ascii="Arial" w:hAnsi="Arial" w:cs="Arial"/>
              </w:rPr>
              <w:t>la información requerid</w:t>
            </w:r>
            <w:r w:rsidR="00AA0ECD" w:rsidRPr="00970B14">
              <w:rPr>
                <w:rFonts w:ascii="Arial" w:hAnsi="Arial" w:cs="Arial"/>
              </w:rPr>
              <w:t>a</w:t>
            </w:r>
            <w:r w:rsidRPr="00970B14">
              <w:rPr>
                <w:rFonts w:ascii="Arial" w:hAnsi="Arial" w:cs="Arial"/>
              </w:rPr>
              <w:t xml:space="preserve"> por la mesa Sectorial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  <w:p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Revisar que la información es coherente y clara</w:t>
            </w:r>
          </w:p>
        </w:tc>
        <w:tc>
          <w:tcPr>
            <w:tcW w:w="890" w:type="pct"/>
            <w:vAlign w:val="center"/>
          </w:tcPr>
          <w:p w:rsidR="00E37C04" w:rsidRPr="00970B14" w:rsidRDefault="00241A3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Presentación </w:t>
            </w:r>
            <w:r w:rsidR="00380BE5" w:rsidRPr="00970B14">
              <w:rPr>
                <w:rFonts w:ascii="Arial" w:hAnsi="Arial" w:cs="Arial"/>
              </w:rPr>
              <w:t xml:space="preserve">con los </w:t>
            </w:r>
            <w:r w:rsidRPr="00970B14">
              <w:rPr>
                <w:rFonts w:ascii="Arial" w:hAnsi="Arial" w:cs="Arial"/>
              </w:rPr>
              <w:t xml:space="preserve">Instrumentos </w:t>
            </w:r>
            <w:r w:rsidR="00380BE5" w:rsidRPr="00970B14">
              <w:rPr>
                <w:rFonts w:ascii="Arial" w:hAnsi="Arial" w:cs="Arial"/>
              </w:rPr>
              <w:t xml:space="preserve">establecidos por el </w:t>
            </w:r>
            <w:r w:rsidRPr="00970B14">
              <w:rPr>
                <w:rFonts w:ascii="Arial" w:hAnsi="Arial" w:cs="Arial"/>
              </w:rPr>
              <w:t xml:space="preserve">Departamento Nacional de Planeación y </w:t>
            </w:r>
            <w:r w:rsidR="00380BE5" w:rsidRPr="00970B14">
              <w:rPr>
                <w:rFonts w:ascii="Arial" w:hAnsi="Arial" w:cs="Arial"/>
              </w:rPr>
              <w:t xml:space="preserve">el </w:t>
            </w:r>
            <w:r w:rsidRPr="00970B14">
              <w:rPr>
                <w:rFonts w:ascii="Arial" w:hAnsi="Arial" w:cs="Arial"/>
              </w:rPr>
              <w:t>Ministerio de Hacienda y Crédito Público</w:t>
            </w: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1657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Remitir mediante correo electrónico la información relacionada con el MGMP al Ministerio de Educación Nacional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E37C04" w:rsidRPr="00970B14" w:rsidRDefault="00B949F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E37C04" w:rsidRPr="00970B14" w:rsidRDefault="00241A3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Instrumentos </w:t>
            </w:r>
            <w:r w:rsidR="00380BE5" w:rsidRPr="00970B14">
              <w:rPr>
                <w:rFonts w:ascii="Arial" w:hAnsi="Arial" w:cs="Arial"/>
              </w:rPr>
              <w:t xml:space="preserve">establecidos por el </w:t>
            </w:r>
            <w:r w:rsidRPr="00970B14">
              <w:rPr>
                <w:rFonts w:ascii="Arial" w:hAnsi="Arial" w:cs="Arial"/>
              </w:rPr>
              <w:t>Departamento Nacional de Planeación y</w:t>
            </w:r>
            <w:r w:rsidR="00380BE5" w:rsidRPr="00970B14">
              <w:rPr>
                <w:rFonts w:ascii="Arial" w:hAnsi="Arial" w:cs="Arial"/>
              </w:rPr>
              <w:t xml:space="preserve"> el</w:t>
            </w:r>
            <w:r w:rsidRPr="00970B14">
              <w:rPr>
                <w:rFonts w:ascii="Arial" w:hAnsi="Arial" w:cs="Arial"/>
              </w:rPr>
              <w:t xml:space="preserve"> Ministerio de Hacienda y Crédito Público</w:t>
            </w:r>
          </w:p>
        </w:tc>
      </w:tr>
      <w:tr w:rsidR="00B949FF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B949FF" w:rsidRPr="00970B14" w:rsidRDefault="00B949FF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  <w:r w:rsidR="00EE1E84" w:rsidRPr="00970B14">
              <w:rPr>
                <w:rFonts w:ascii="Arial" w:hAnsi="Arial" w:cs="Arial"/>
                <w:spacing w:val="-20"/>
              </w:rPr>
              <w:t>0</w:t>
            </w:r>
          </w:p>
        </w:tc>
        <w:tc>
          <w:tcPr>
            <w:tcW w:w="1657" w:type="pct"/>
            <w:vAlign w:val="center"/>
          </w:tcPr>
          <w:p w:rsidR="00B949FF" w:rsidRPr="00970B14" w:rsidRDefault="008A24DB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R</w:t>
            </w:r>
            <w:r w:rsidR="00B949FF" w:rsidRPr="00970B14">
              <w:rPr>
                <w:rFonts w:ascii="Arial" w:hAnsi="Arial" w:cs="Arial"/>
              </w:rPr>
              <w:t>egistra</w:t>
            </w:r>
            <w:r w:rsidRPr="00970B14">
              <w:rPr>
                <w:rFonts w:ascii="Arial" w:hAnsi="Arial" w:cs="Arial"/>
              </w:rPr>
              <w:t>r</w:t>
            </w:r>
            <w:r w:rsidR="00B949FF" w:rsidRPr="00970B14">
              <w:rPr>
                <w:rFonts w:ascii="Arial" w:hAnsi="Arial" w:cs="Arial"/>
              </w:rPr>
              <w:t xml:space="preserve"> en el Sistema Unificado de Inversión y Finanzas Públicas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B949FF" w:rsidRPr="00970B14">
              <w:rPr>
                <w:rFonts w:ascii="Arial" w:hAnsi="Arial" w:cs="Arial"/>
              </w:rPr>
              <w:t>SUIFP la distribución de la cuota anunciada para inversión por proyecto</w:t>
            </w:r>
            <w:r w:rsidR="00EE1E84" w:rsidRPr="00970B14">
              <w:rPr>
                <w:rFonts w:ascii="Arial" w:hAnsi="Arial" w:cs="Arial"/>
              </w:rPr>
              <w:t>, de acuerdo con comunicación del MHCP y DNP, donde se informa la cuota presupuestal tanto para funcionamiento como inversión para la próxima vigencia y para los siguientes cuatro años</w:t>
            </w:r>
          </w:p>
        </w:tc>
        <w:tc>
          <w:tcPr>
            <w:tcW w:w="753" w:type="pct"/>
            <w:vAlign w:val="center"/>
          </w:tcPr>
          <w:p w:rsidR="00B949F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:rsidR="00B949FF" w:rsidRPr="00970B14" w:rsidRDefault="00B949F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B949FF" w:rsidRPr="00970B14" w:rsidRDefault="00B949F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B949FF" w:rsidRPr="00970B14" w:rsidRDefault="00B949F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Sistema Unificado de Inversión y Finanzas Públicas</w:t>
            </w:r>
          </w:p>
        </w:tc>
      </w:tr>
      <w:tr w:rsidR="005C07D0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5C07D0" w:rsidRPr="00970B14" w:rsidRDefault="005C07D0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  <w:r w:rsidR="00EE1E84" w:rsidRPr="00970B14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1657" w:type="pct"/>
            <w:vAlign w:val="center"/>
          </w:tcPr>
          <w:p w:rsidR="005C07D0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Elaborar la Resolución de Distribución del Presupuesto (desagregación interna) para el presupuesto de funcionamiento, con base en </w:t>
            </w:r>
            <w:r w:rsidR="005C07D0" w:rsidRPr="00970B14">
              <w:rPr>
                <w:rFonts w:ascii="Arial" w:hAnsi="Arial" w:cs="Arial"/>
              </w:rPr>
              <w:t>la Ley de Presupuesto y el Decreto de Liquidación</w:t>
            </w:r>
          </w:p>
        </w:tc>
        <w:tc>
          <w:tcPr>
            <w:tcW w:w="753" w:type="pct"/>
            <w:vAlign w:val="center"/>
          </w:tcPr>
          <w:p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  <w:p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C07D0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70B14">
              <w:rPr>
                <w:rFonts w:ascii="Arial" w:hAnsi="Arial" w:cs="Arial"/>
              </w:rPr>
              <w:t>Pofesionales</w:t>
            </w:r>
            <w:proofErr w:type="spellEnd"/>
            <w:r w:rsidRPr="00970B14">
              <w:rPr>
                <w:rFonts w:ascii="Arial" w:hAnsi="Arial" w:cs="Arial"/>
              </w:rPr>
              <w:t xml:space="preserve"> </w:t>
            </w:r>
            <w:r w:rsidR="00A8741C" w:rsidRPr="00970B14">
              <w:rPr>
                <w:rFonts w:ascii="Arial" w:hAnsi="Arial" w:cs="Arial"/>
              </w:rPr>
              <w:t>Secretaría General</w:t>
            </w:r>
            <w:r w:rsidRPr="00970B14">
              <w:rPr>
                <w:rFonts w:ascii="Arial" w:hAnsi="Arial" w:cs="Arial"/>
              </w:rPr>
              <w:t xml:space="preserve"> Proceso Financiero</w:t>
            </w:r>
          </w:p>
        </w:tc>
        <w:tc>
          <w:tcPr>
            <w:tcW w:w="754" w:type="pct"/>
            <w:vAlign w:val="center"/>
          </w:tcPr>
          <w:p w:rsidR="00573BF9" w:rsidRPr="00970B14" w:rsidRDefault="005C07D0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  <w:p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C07D0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70B14">
              <w:rPr>
                <w:rFonts w:ascii="Arial" w:hAnsi="Arial" w:cs="Arial"/>
              </w:rPr>
              <w:t>Seretaria</w:t>
            </w:r>
            <w:proofErr w:type="spellEnd"/>
            <w:r w:rsidRPr="00970B14">
              <w:rPr>
                <w:rFonts w:ascii="Arial" w:hAnsi="Arial" w:cs="Arial"/>
              </w:rPr>
              <w:t xml:space="preserve"> General - </w:t>
            </w:r>
            <w:r w:rsidR="00573BF9" w:rsidRPr="00970B14">
              <w:rPr>
                <w:rFonts w:ascii="Arial" w:hAnsi="Arial" w:cs="Arial"/>
              </w:rPr>
              <w:t>Proceso Financiero</w:t>
            </w:r>
          </w:p>
        </w:tc>
        <w:tc>
          <w:tcPr>
            <w:tcW w:w="753" w:type="pct"/>
            <w:vAlign w:val="center"/>
          </w:tcPr>
          <w:p w:rsidR="005C07D0" w:rsidRPr="00970B14" w:rsidRDefault="00B949F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5C07D0" w:rsidRPr="00970B14" w:rsidRDefault="003C52FD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Resolució</w:t>
            </w:r>
            <w:r w:rsidR="00380BE5" w:rsidRPr="00970B14">
              <w:rPr>
                <w:rFonts w:ascii="Arial" w:hAnsi="Arial" w:cs="Arial"/>
              </w:rPr>
              <w:t>n</w:t>
            </w:r>
            <w:r w:rsidRPr="00970B14">
              <w:rPr>
                <w:rFonts w:ascii="Arial" w:hAnsi="Arial" w:cs="Arial"/>
              </w:rPr>
              <w:t xml:space="preserve"> de desagregación de presupuesto</w:t>
            </w: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3C52F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  <w:r w:rsidR="00EE1E84" w:rsidRPr="00970B14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1657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Socializar con los jefes de </w:t>
            </w:r>
            <w:proofErr w:type="spellStart"/>
            <w:r w:rsidRPr="00970B14">
              <w:rPr>
                <w:rFonts w:ascii="Arial" w:hAnsi="Arial" w:cs="Arial"/>
              </w:rPr>
              <w:t>depedencia</w:t>
            </w:r>
            <w:proofErr w:type="spellEnd"/>
            <w:r w:rsidRPr="00970B14">
              <w:rPr>
                <w:rFonts w:ascii="Arial" w:hAnsi="Arial" w:cs="Arial"/>
              </w:rPr>
              <w:t xml:space="preserve"> los recursos </w:t>
            </w:r>
            <w:r w:rsidR="00256692" w:rsidRPr="00970B14">
              <w:rPr>
                <w:rFonts w:ascii="Arial" w:hAnsi="Arial" w:cs="Arial"/>
              </w:rPr>
              <w:t>asignados a cada proyecto y el Formato para la elaboración del Plan de A</w:t>
            </w:r>
            <w:r w:rsidRPr="00970B14">
              <w:rPr>
                <w:rFonts w:ascii="Arial" w:hAnsi="Arial" w:cs="Arial"/>
              </w:rPr>
              <w:t>dquisiciones</w:t>
            </w:r>
          </w:p>
        </w:tc>
        <w:tc>
          <w:tcPr>
            <w:tcW w:w="753" w:type="pct"/>
            <w:vAlign w:val="center"/>
          </w:tcPr>
          <w:p w:rsidR="00E37C04" w:rsidRPr="00970B14" w:rsidRDefault="00256692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Acta de reunión</w:t>
            </w: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3C52F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  <w:r w:rsidR="00EE1E84" w:rsidRPr="00970B14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1657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D</w:t>
            </w:r>
            <w:r w:rsidR="00256692" w:rsidRPr="00970B14">
              <w:rPr>
                <w:rFonts w:ascii="Arial" w:hAnsi="Arial" w:cs="Arial"/>
              </w:rPr>
              <w:t>efinir y registrar en el F</w:t>
            </w:r>
            <w:r w:rsidRPr="00970B14">
              <w:rPr>
                <w:rFonts w:ascii="Arial" w:hAnsi="Arial" w:cs="Arial"/>
              </w:rPr>
              <w:t>ormato las necesidades contractuales para la respectiva vigencia</w:t>
            </w:r>
          </w:p>
        </w:tc>
        <w:tc>
          <w:tcPr>
            <w:tcW w:w="753" w:type="pct"/>
            <w:vAlign w:val="center"/>
          </w:tcPr>
          <w:p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Profesionales de : </w:t>
            </w:r>
            <w:r w:rsidR="00E37C04" w:rsidRPr="00970B14">
              <w:rPr>
                <w:rFonts w:ascii="Arial" w:hAnsi="Arial" w:cs="Arial"/>
              </w:rPr>
              <w:t>Subdirec</w:t>
            </w:r>
            <w:r w:rsidRPr="00970B14">
              <w:rPr>
                <w:rFonts w:ascii="Arial" w:hAnsi="Arial" w:cs="Arial"/>
              </w:rPr>
              <w:t>ción Técnica</w:t>
            </w:r>
          </w:p>
          <w:p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Secretaría</w:t>
            </w:r>
            <w:r w:rsidR="00E37C04" w:rsidRPr="00970B14">
              <w:rPr>
                <w:rFonts w:ascii="Arial" w:hAnsi="Arial" w:cs="Arial"/>
              </w:rPr>
              <w:t xml:space="preserve"> General</w:t>
            </w:r>
          </w:p>
          <w:p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J</w:t>
            </w:r>
            <w:r w:rsidR="00E37C04" w:rsidRPr="00970B14">
              <w:rPr>
                <w:rFonts w:ascii="Arial" w:hAnsi="Arial" w:cs="Arial"/>
              </w:rPr>
              <w:t>urídica</w:t>
            </w:r>
          </w:p>
          <w:p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P</w:t>
            </w:r>
            <w:r w:rsidR="00E37C04" w:rsidRPr="00970B14">
              <w:rPr>
                <w:rFonts w:ascii="Arial" w:hAnsi="Arial" w:cs="Arial"/>
              </w:rPr>
              <w:t>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Subdirección </w:t>
            </w:r>
            <w:proofErr w:type="spellStart"/>
            <w:r w:rsidR="0007783F" w:rsidRPr="00970B14">
              <w:rPr>
                <w:rFonts w:ascii="Arial" w:hAnsi="Arial" w:cs="Arial"/>
              </w:rPr>
              <w:t>Tecnica</w:t>
            </w:r>
            <w:proofErr w:type="spellEnd"/>
          </w:p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Secretaría General</w:t>
            </w:r>
          </w:p>
          <w:p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</w:t>
            </w:r>
            <w:r w:rsidR="00E37C04" w:rsidRPr="00970B14">
              <w:rPr>
                <w:rFonts w:ascii="Arial" w:hAnsi="Arial" w:cs="Arial"/>
              </w:rPr>
              <w:t xml:space="preserve">sesora </w:t>
            </w:r>
            <w:r w:rsidRPr="00970B14">
              <w:rPr>
                <w:rFonts w:ascii="Arial" w:hAnsi="Arial" w:cs="Arial"/>
              </w:rPr>
              <w:t>J</w:t>
            </w:r>
            <w:r w:rsidR="00E37C04" w:rsidRPr="00970B14">
              <w:rPr>
                <w:rFonts w:ascii="Arial" w:hAnsi="Arial" w:cs="Arial"/>
              </w:rPr>
              <w:t>urídica</w:t>
            </w:r>
          </w:p>
          <w:p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P</w:t>
            </w:r>
            <w:r w:rsidR="00E37C04" w:rsidRPr="00970B14">
              <w:rPr>
                <w:rFonts w:ascii="Arial" w:hAnsi="Arial" w:cs="Arial"/>
              </w:rPr>
              <w:t>laneación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Formato </w:t>
            </w:r>
            <w:r w:rsidR="0007783F" w:rsidRPr="00970B14">
              <w:rPr>
                <w:rFonts w:ascii="Arial" w:hAnsi="Arial" w:cs="Arial"/>
              </w:rPr>
              <w:t>Plan de Adquisiciones</w:t>
            </w:r>
          </w:p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3C52F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  <w:r w:rsidR="00EE1E84" w:rsidRPr="00970B14"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1657" w:type="pct"/>
            <w:vAlign w:val="center"/>
          </w:tcPr>
          <w:p w:rsidR="00E37C04" w:rsidRPr="00970B14" w:rsidRDefault="00CD0EE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Consolidar </w:t>
            </w:r>
            <w:r w:rsidR="00E37C04" w:rsidRPr="00970B14">
              <w:rPr>
                <w:rFonts w:ascii="Arial" w:hAnsi="Arial" w:cs="Arial"/>
              </w:rPr>
              <w:t xml:space="preserve">el </w:t>
            </w:r>
            <w:r w:rsidR="0007783F" w:rsidRPr="00970B14">
              <w:rPr>
                <w:rFonts w:ascii="Arial" w:hAnsi="Arial" w:cs="Arial"/>
              </w:rPr>
              <w:t xml:space="preserve">Formato Plan de Adquisiciones </w:t>
            </w:r>
            <w:r w:rsidR="00E37C04" w:rsidRPr="00970B14">
              <w:rPr>
                <w:rFonts w:ascii="Arial" w:hAnsi="Arial" w:cs="Arial"/>
              </w:rPr>
              <w:t>di</w:t>
            </w:r>
            <w:r w:rsidR="005966E5" w:rsidRPr="00970B14">
              <w:rPr>
                <w:rFonts w:ascii="Arial" w:hAnsi="Arial" w:cs="Arial"/>
              </w:rPr>
              <w:t>ligenciado por cada dependencia</w:t>
            </w:r>
          </w:p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549A2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</w:t>
            </w:r>
            <w:r w:rsidR="00CD0EE4" w:rsidRPr="00970B14">
              <w:rPr>
                <w:rFonts w:ascii="Arial" w:hAnsi="Arial" w:cs="Arial"/>
              </w:rPr>
              <w:t>e</w:t>
            </w:r>
            <w:r w:rsidR="00F97835" w:rsidRPr="00970B14">
              <w:rPr>
                <w:rFonts w:ascii="Arial" w:hAnsi="Arial" w:cs="Arial"/>
              </w:rPr>
              <w:t xml:space="preserve"> </w:t>
            </w:r>
            <w:r w:rsidR="00CD0EE4" w:rsidRPr="00970B14">
              <w:rPr>
                <w:rFonts w:ascii="Arial" w:hAnsi="Arial" w:cs="Arial"/>
              </w:rPr>
              <w:t xml:space="preserve">contrastan la distribución de los valores con los posibles </w:t>
            </w:r>
            <w:r w:rsidRPr="00970B14">
              <w:rPr>
                <w:rFonts w:ascii="Arial" w:hAnsi="Arial" w:cs="Arial"/>
              </w:rPr>
              <w:t xml:space="preserve">contratos </w:t>
            </w:r>
            <w:r w:rsidR="00CD0EE4" w:rsidRPr="00970B14">
              <w:rPr>
                <w:rFonts w:ascii="Arial" w:hAnsi="Arial" w:cs="Arial"/>
              </w:rPr>
              <w:t xml:space="preserve">y el presupuesto asignado. Si </w:t>
            </w:r>
            <w:r w:rsidRPr="00970B14">
              <w:rPr>
                <w:rFonts w:ascii="Arial" w:hAnsi="Arial" w:cs="Arial"/>
              </w:rPr>
              <w:t>están de acuerdo con lo establecido se continúa con la actividad No</w:t>
            </w:r>
            <w:r w:rsidR="00256692" w:rsidRPr="00970B14">
              <w:rPr>
                <w:rFonts w:ascii="Arial" w:hAnsi="Arial" w:cs="Arial"/>
              </w:rPr>
              <w:t>.</w:t>
            </w:r>
            <w:r w:rsidRPr="00970B14">
              <w:rPr>
                <w:rFonts w:ascii="Arial" w:hAnsi="Arial" w:cs="Arial"/>
              </w:rPr>
              <w:t xml:space="preserve"> </w:t>
            </w:r>
            <w:r w:rsidR="00B949FF" w:rsidRPr="00970B14">
              <w:rPr>
                <w:rFonts w:ascii="Arial" w:hAnsi="Arial" w:cs="Arial"/>
              </w:rPr>
              <w:t>1</w:t>
            </w:r>
            <w:r w:rsidR="00256692" w:rsidRPr="00970B14">
              <w:rPr>
                <w:rFonts w:ascii="Arial" w:hAnsi="Arial" w:cs="Arial"/>
              </w:rPr>
              <w:t>5</w:t>
            </w:r>
          </w:p>
          <w:p w:rsidR="00E37C04" w:rsidRPr="00970B14" w:rsidRDefault="00B949F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No: S</w:t>
            </w:r>
            <w:r w:rsidR="00E37C04" w:rsidRPr="00970B14">
              <w:rPr>
                <w:rFonts w:ascii="Arial" w:hAnsi="Arial" w:cs="Arial"/>
              </w:rPr>
              <w:t>e ajusta con</w:t>
            </w:r>
            <w:r w:rsidR="00CD0EE4" w:rsidRPr="00970B14">
              <w:rPr>
                <w:rFonts w:ascii="Arial" w:hAnsi="Arial" w:cs="Arial"/>
              </w:rPr>
              <w:t>juntamente con los respectivos J</w:t>
            </w:r>
            <w:r w:rsidR="00E37C04" w:rsidRPr="00970B14">
              <w:rPr>
                <w:rFonts w:ascii="Arial" w:hAnsi="Arial" w:cs="Arial"/>
              </w:rPr>
              <w:t>efe</w:t>
            </w:r>
            <w:r w:rsidR="006F15D1" w:rsidRPr="00970B14">
              <w:rPr>
                <w:rFonts w:ascii="Arial" w:hAnsi="Arial" w:cs="Arial"/>
              </w:rPr>
              <w:t>s</w:t>
            </w:r>
            <w:r w:rsidR="00CD0EE4" w:rsidRPr="00970B14">
              <w:rPr>
                <w:rFonts w:ascii="Arial" w:hAnsi="Arial" w:cs="Arial"/>
              </w:rPr>
              <w:t xml:space="preserve"> de D</w:t>
            </w:r>
            <w:r w:rsidR="00E37C04" w:rsidRPr="00970B14">
              <w:rPr>
                <w:rFonts w:ascii="Arial" w:hAnsi="Arial" w:cs="Arial"/>
              </w:rPr>
              <w:t>ependencia</w:t>
            </w:r>
            <w:r w:rsidR="006F15D1" w:rsidRPr="00970B14">
              <w:rPr>
                <w:rFonts w:ascii="Arial" w:hAnsi="Arial" w:cs="Arial"/>
              </w:rPr>
              <w:t xml:space="preserve"> y se continúa con la actividad N</w:t>
            </w:r>
            <w:r w:rsidR="00256692" w:rsidRPr="00970B14">
              <w:rPr>
                <w:rFonts w:ascii="Arial" w:hAnsi="Arial" w:cs="Arial"/>
              </w:rPr>
              <w:t xml:space="preserve">o. </w:t>
            </w:r>
            <w:r w:rsidR="006F15D1" w:rsidRPr="00970B14">
              <w:rPr>
                <w:rFonts w:ascii="Arial" w:hAnsi="Arial" w:cs="Arial"/>
              </w:rPr>
              <w:t>1</w:t>
            </w:r>
            <w:r w:rsidR="00256692" w:rsidRPr="00970B14">
              <w:rPr>
                <w:rFonts w:ascii="Arial" w:hAnsi="Arial" w:cs="Arial"/>
              </w:rPr>
              <w:t>5</w:t>
            </w:r>
          </w:p>
        </w:tc>
        <w:tc>
          <w:tcPr>
            <w:tcW w:w="753" w:type="pct"/>
            <w:vAlign w:val="center"/>
          </w:tcPr>
          <w:p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  <w:p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37C04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90" w:type="pct"/>
            <w:vAlign w:val="center"/>
          </w:tcPr>
          <w:p w:rsidR="0007783F" w:rsidRPr="00970B14" w:rsidRDefault="0007783F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Formato Plan de Adquisiciones</w:t>
            </w:r>
          </w:p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3C52F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  <w:r w:rsidR="00EE1E84" w:rsidRPr="00970B14"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1657" w:type="pct"/>
            <w:vAlign w:val="center"/>
          </w:tcPr>
          <w:p w:rsidR="00256692" w:rsidRPr="00970B14" w:rsidRDefault="00EE1E8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Elaborar, p</w:t>
            </w:r>
            <w:r w:rsidR="00E37C04" w:rsidRPr="00970B14">
              <w:rPr>
                <w:rFonts w:ascii="Arial" w:hAnsi="Arial" w:cs="Arial"/>
              </w:rPr>
              <w:t>resentar</w:t>
            </w:r>
            <w:r w:rsidRPr="00970B14">
              <w:rPr>
                <w:rFonts w:ascii="Arial" w:hAnsi="Arial" w:cs="Arial"/>
              </w:rPr>
              <w:t xml:space="preserve"> y</w:t>
            </w:r>
            <w:r w:rsidR="00E37C04" w:rsidRPr="00970B14">
              <w:rPr>
                <w:rFonts w:ascii="Arial" w:hAnsi="Arial" w:cs="Arial"/>
              </w:rPr>
              <w:t xml:space="preserve"> aprobar </w:t>
            </w:r>
            <w:r w:rsidR="00256692" w:rsidRPr="00970B14">
              <w:rPr>
                <w:rFonts w:ascii="Arial" w:hAnsi="Arial" w:cs="Arial"/>
              </w:rPr>
              <w:t>por parte del Director General</w:t>
            </w:r>
          </w:p>
          <w:p w:rsidR="00EE1E84" w:rsidRPr="00970B14" w:rsidRDefault="00256692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La </w:t>
            </w:r>
            <w:r w:rsidR="00EE1E84" w:rsidRPr="00970B14">
              <w:rPr>
                <w:rFonts w:ascii="Arial" w:hAnsi="Arial" w:cs="Arial"/>
              </w:rPr>
              <w:t xml:space="preserve">circular que contiene </w:t>
            </w:r>
            <w:r w:rsidR="00E37C04" w:rsidRPr="00970B14">
              <w:rPr>
                <w:rFonts w:ascii="Arial" w:hAnsi="Arial" w:cs="Arial"/>
              </w:rPr>
              <w:t xml:space="preserve">el </w:t>
            </w:r>
            <w:r w:rsidR="00EE1E84" w:rsidRPr="00970B14">
              <w:rPr>
                <w:rFonts w:ascii="Arial" w:hAnsi="Arial" w:cs="Arial"/>
              </w:rPr>
              <w:t>Plan de A</w:t>
            </w:r>
            <w:r w:rsidR="00E37C04" w:rsidRPr="00970B14">
              <w:rPr>
                <w:rFonts w:ascii="Arial" w:hAnsi="Arial" w:cs="Arial"/>
              </w:rPr>
              <w:t>dquisiciones</w:t>
            </w:r>
          </w:p>
          <w:p w:rsidR="00256692" w:rsidRPr="00970B14" w:rsidRDefault="00256692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Si</w:t>
            </w:r>
            <w:r w:rsidR="008A24DB" w:rsidRPr="00970B14">
              <w:rPr>
                <w:rFonts w:ascii="Arial" w:hAnsi="Arial" w:cs="Arial"/>
              </w:rPr>
              <w:t xml:space="preserve"> se aprueba se c</w:t>
            </w:r>
            <w:r w:rsidR="00B949FF" w:rsidRPr="00970B14">
              <w:rPr>
                <w:rFonts w:ascii="Arial" w:hAnsi="Arial" w:cs="Arial"/>
              </w:rPr>
              <w:t xml:space="preserve">ontinúa con la actividad </w:t>
            </w:r>
            <w:r w:rsidR="00256692" w:rsidRPr="00970B14">
              <w:rPr>
                <w:rFonts w:ascii="Arial" w:hAnsi="Arial" w:cs="Arial"/>
              </w:rPr>
              <w:t>No.16</w:t>
            </w:r>
            <w:r w:rsidR="008A24DB" w:rsidRPr="00970B14">
              <w:rPr>
                <w:rFonts w:ascii="Arial" w:hAnsi="Arial" w:cs="Arial"/>
              </w:rPr>
              <w:t xml:space="preserve">, de lo contrario se </w:t>
            </w:r>
            <w:r w:rsidRPr="00970B14">
              <w:rPr>
                <w:rFonts w:ascii="Arial" w:hAnsi="Arial" w:cs="Arial"/>
              </w:rPr>
              <w:t>devolverse a la actividad</w:t>
            </w:r>
            <w:r w:rsidR="00256692" w:rsidRPr="00970B14">
              <w:rPr>
                <w:rFonts w:ascii="Arial" w:hAnsi="Arial" w:cs="Arial"/>
              </w:rPr>
              <w:t xml:space="preserve"> No.14</w:t>
            </w:r>
          </w:p>
        </w:tc>
        <w:tc>
          <w:tcPr>
            <w:tcW w:w="753" w:type="pct"/>
            <w:vAlign w:val="center"/>
          </w:tcPr>
          <w:p w:rsidR="00EE1E84" w:rsidRPr="00970B14" w:rsidRDefault="00EE1E8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Jefe Oficina Asesora de Planeación</w:t>
            </w:r>
          </w:p>
          <w:p w:rsidR="00EE1E84" w:rsidRPr="00970B14" w:rsidRDefault="00EE1E8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37C04" w:rsidRPr="00970B14" w:rsidRDefault="00EE1E8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E1E8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E37C04" w:rsidRPr="00970B14" w:rsidRDefault="00CD0EE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Verificar que los contratos no superen el presupuesto asignado a cada proyecto y que estén de acuerdo con la misión, objetivos y metas del INCI</w:t>
            </w:r>
          </w:p>
        </w:tc>
        <w:tc>
          <w:tcPr>
            <w:tcW w:w="890" w:type="pct"/>
            <w:vAlign w:val="center"/>
          </w:tcPr>
          <w:p w:rsidR="00E37C04" w:rsidRPr="00970B14" w:rsidRDefault="00EE1E8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Circular de adopción del Plan de Adquisiciones</w:t>
            </w: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3C52F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  <w:r w:rsidR="00EE1E84" w:rsidRPr="00970B14"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1657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I</w:t>
            </w:r>
            <w:r w:rsidR="00256692" w:rsidRPr="00970B14">
              <w:rPr>
                <w:rFonts w:ascii="Arial" w:hAnsi="Arial" w:cs="Arial"/>
              </w:rPr>
              <w:t>ntegrar el Plan de A</w:t>
            </w:r>
            <w:r w:rsidRPr="00970B14">
              <w:rPr>
                <w:rFonts w:ascii="Arial" w:hAnsi="Arial" w:cs="Arial"/>
              </w:rPr>
              <w:t>dquisiciones con el formato SECOP II o plataforma vigente</w:t>
            </w:r>
          </w:p>
        </w:tc>
        <w:tc>
          <w:tcPr>
            <w:tcW w:w="753" w:type="pct"/>
            <w:vAlign w:val="center"/>
          </w:tcPr>
          <w:p w:rsidR="00E37C04" w:rsidRPr="00970B14" w:rsidRDefault="00256692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E37C04" w:rsidRPr="00970B14" w:rsidRDefault="00256692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SECOP II o plataforma vigente</w:t>
            </w:r>
          </w:p>
        </w:tc>
      </w:tr>
      <w:tr w:rsidR="00E37C04" w:rsidRPr="00970B14" w:rsidTr="00970B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Align w:val="center"/>
          </w:tcPr>
          <w:p w:rsidR="00E37C04" w:rsidRPr="00970B14" w:rsidRDefault="00AA0ECD" w:rsidP="00970B14">
            <w:pPr>
              <w:jc w:val="center"/>
              <w:rPr>
                <w:rFonts w:ascii="Arial" w:hAnsi="Arial" w:cs="Arial"/>
                <w:spacing w:val="-20"/>
              </w:rPr>
            </w:pPr>
            <w:r w:rsidRPr="00970B14">
              <w:rPr>
                <w:rFonts w:ascii="Arial" w:hAnsi="Arial" w:cs="Arial"/>
                <w:spacing w:val="-20"/>
              </w:rPr>
              <w:t>1</w:t>
            </w:r>
            <w:r w:rsidR="00256692" w:rsidRPr="00970B14"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1657" w:type="pct"/>
            <w:vAlign w:val="center"/>
          </w:tcPr>
          <w:p w:rsidR="00E37C04" w:rsidRPr="00970B14" w:rsidRDefault="002F49B8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70B14">
              <w:rPr>
                <w:rFonts w:ascii="Arial" w:hAnsi="Arial" w:cs="Arial"/>
              </w:rPr>
              <w:t>Socilizar</w:t>
            </w:r>
            <w:proofErr w:type="spellEnd"/>
            <w:r w:rsidRPr="00970B14">
              <w:rPr>
                <w:rFonts w:ascii="Arial" w:hAnsi="Arial" w:cs="Arial"/>
              </w:rPr>
              <w:t xml:space="preserve"> y p</w:t>
            </w:r>
            <w:r w:rsidR="001A56B9" w:rsidRPr="00970B14">
              <w:rPr>
                <w:rFonts w:ascii="Arial" w:hAnsi="Arial" w:cs="Arial"/>
              </w:rPr>
              <w:t xml:space="preserve">ublicar </w:t>
            </w:r>
            <w:r w:rsidRPr="00970B14">
              <w:rPr>
                <w:rFonts w:ascii="Arial" w:hAnsi="Arial" w:cs="Arial"/>
              </w:rPr>
              <w:t>la circular de adopci</w:t>
            </w:r>
            <w:r w:rsidR="00C42C3B" w:rsidRPr="00970B14">
              <w:rPr>
                <w:rFonts w:ascii="Arial" w:hAnsi="Arial" w:cs="Arial"/>
              </w:rPr>
              <w:t>ón y</w:t>
            </w:r>
            <w:r w:rsidRPr="00970B14">
              <w:rPr>
                <w:rFonts w:ascii="Arial" w:hAnsi="Arial" w:cs="Arial"/>
              </w:rPr>
              <w:t xml:space="preserve"> </w:t>
            </w:r>
            <w:r w:rsidR="00C42C3B" w:rsidRPr="00970B14">
              <w:rPr>
                <w:rFonts w:ascii="Arial" w:hAnsi="Arial" w:cs="Arial"/>
              </w:rPr>
              <w:t>las de actualización d</w:t>
            </w:r>
            <w:r w:rsidR="001A56B9" w:rsidRPr="00970B14">
              <w:rPr>
                <w:rFonts w:ascii="Arial" w:hAnsi="Arial" w:cs="Arial"/>
              </w:rPr>
              <w:t>el Plan Anual de Adquisiciones</w:t>
            </w:r>
            <w:r w:rsidR="00C42C3B" w:rsidRPr="00970B14">
              <w:rPr>
                <w:rFonts w:ascii="Arial" w:hAnsi="Arial" w:cs="Arial"/>
              </w:rPr>
              <w:t>,</w:t>
            </w:r>
            <w:r w:rsidR="001A56B9" w:rsidRPr="00970B14">
              <w:rPr>
                <w:rFonts w:ascii="Arial" w:hAnsi="Arial" w:cs="Arial"/>
              </w:rPr>
              <w:t xml:space="preserve"> </w:t>
            </w:r>
            <w:proofErr w:type="spellStart"/>
            <w:r w:rsidR="00C42C3B" w:rsidRPr="00970B14">
              <w:rPr>
                <w:rFonts w:ascii="Arial" w:hAnsi="Arial" w:cs="Arial"/>
              </w:rPr>
              <w:t>asi</w:t>
            </w:r>
            <w:proofErr w:type="spellEnd"/>
            <w:r w:rsidR="00C42C3B" w:rsidRPr="00970B14">
              <w:rPr>
                <w:rFonts w:ascii="Arial" w:hAnsi="Arial" w:cs="Arial"/>
              </w:rPr>
              <w:t xml:space="preserve"> como </w:t>
            </w:r>
            <w:r w:rsidR="001A56B9" w:rsidRPr="00970B14">
              <w:rPr>
                <w:rFonts w:ascii="Arial" w:hAnsi="Arial" w:cs="Arial"/>
              </w:rPr>
              <w:t xml:space="preserve">las </w:t>
            </w:r>
            <w:r w:rsidR="00C42C3B" w:rsidRPr="00970B14">
              <w:rPr>
                <w:rFonts w:ascii="Arial" w:hAnsi="Arial" w:cs="Arial"/>
              </w:rPr>
              <w:t xml:space="preserve">versiones </w:t>
            </w:r>
            <w:r w:rsidR="001A56B9" w:rsidRPr="00970B14">
              <w:rPr>
                <w:rFonts w:ascii="Arial" w:hAnsi="Arial" w:cs="Arial"/>
              </w:rPr>
              <w:t>actualiza</w:t>
            </w:r>
            <w:r w:rsidR="00C42C3B" w:rsidRPr="00970B14">
              <w:rPr>
                <w:rFonts w:ascii="Arial" w:hAnsi="Arial" w:cs="Arial"/>
              </w:rPr>
              <w:t>das</w:t>
            </w:r>
            <w:r w:rsidR="001A56B9" w:rsidRPr="00970B14">
              <w:rPr>
                <w:rFonts w:ascii="Arial" w:hAnsi="Arial" w:cs="Arial"/>
              </w:rPr>
              <w:t xml:space="preserve"> del </w:t>
            </w:r>
            <w:r w:rsidR="00C42C3B" w:rsidRPr="00970B14">
              <w:rPr>
                <w:rFonts w:ascii="Arial" w:hAnsi="Arial" w:cs="Arial"/>
              </w:rPr>
              <w:t xml:space="preserve">Plan </w:t>
            </w:r>
            <w:r w:rsidR="001A56B9" w:rsidRPr="00970B14">
              <w:rPr>
                <w:rFonts w:ascii="Arial" w:hAnsi="Arial" w:cs="Arial"/>
              </w:rPr>
              <w:t xml:space="preserve">en </w:t>
            </w:r>
            <w:r w:rsidR="008A24DB" w:rsidRPr="00970B14">
              <w:rPr>
                <w:rFonts w:ascii="Arial" w:hAnsi="Arial" w:cs="Arial"/>
              </w:rPr>
              <w:t>la</w:t>
            </w:r>
            <w:r w:rsidR="001A56B9" w:rsidRPr="00970B14">
              <w:rPr>
                <w:rFonts w:ascii="Arial" w:hAnsi="Arial" w:cs="Arial"/>
              </w:rPr>
              <w:t xml:space="preserve"> página web y en el SECOP</w:t>
            </w:r>
            <w:r w:rsidR="00256692" w:rsidRPr="00970B14">
              <w:rPr>
                <w:rFonts w:ascii="Arial" w:hAnsi="Arial" w:cs="Arial"/>
              </w:rPr>
              <w:t xml:space="preserve"> II</w:t>
            </w:r>
            <w:r w:rsidRPr="00970B14">
              <w:rPr>
                <w:rFonts w:ascii="Arial" w:hAnsi="Arial" w:cs="Arial"/>
              </w:rPr>
              <w:t xml:space="preserve"> (de acuerdo a las disposiciones de</w:t>
            </w:r>
            <w:r w:rsidR="001A56B9" w:rsidRPr="00970B14">
              <w:rPr>
                <w:rFonts w:ascii="Arial" w:hAnsi="Arial" w:cs="Arial"/>
              </w:rPr>
              <w:t xml:space="preserve"> Colombia Compra Eficiente</w:t>
            </w:r>
            <w:r w:rsidRPr="00970B14">
              <w:rPr>
                <w:rFonts w:ascii="Arial" w:hAnsi="Arial" w:cs="Arial"/>
              </w:rPr>
              <w:t>)</w:t>
            </w:r>
          </w:p>
        </w:tc>
        <w:tc>
          <w:tcPr>
            <w:tcW w:w="753" w:type="pct"/>
            <w:vAlign w:val="center"/>
          </w:tcPr>
          <w:p w:rsidR="00E37C04" w:rsidRPr="00970B14" w:rsidRDefault="002F49B8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Profesionales Oficina Asesora de Planeación</w:t>
            </w:r>
          </w:p>
        </w:tc>
        <w:tc>
          <w:tcPr>
            <w:tcW w:w="754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53" w:type="pct"/>
            <w:vAlign w:val="center"/>
          </w:tcPr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No aplica</w:t>
            </w:r>
          </w:p>
        </w:tc>
        <w:tc>
          <w:tcPr>
            <w:tcW w:w="890" w:type="pct"/>
            <w:vAlign w:val="center"/>
          </w:tcPr>
          <w:p w:rsidR="002F49B8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Circular</w:t>
            </w:r>
            <w:r w:rsidR="002F49B8" w:rsidRPr="00970B14">
              <w:rPr>
                <w:rFonts w:ascii="Arial" w:hAnsi="Arial" w:cs="Arial"/>
              </w:rPr>
              <w:t>, Formato Plan de Adquisiciones, publicación SECOP</w:t>
            </w:r>
            <w:r w:rsidR="00256692" w:rsidRPr="00970B14">
              <w:rPr>
                <w:rFonts w:ascii="Arial" w:hAnsi="Arial" w:cs="Arial"/>
              </w:rPr>
              <w:t xml:space="preserve"> II o plataforma vigente</w:t>
            </w:r>
          </w:p>
          <w:p w:rsidR="00E37C04" w:rsidRPr="00970B14" w:rsidRDefault="00E37C04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454C0" w:rsidRPr="005548F6" w:rsidRDefault="00967893" w:rsidP="00F97835">
      <w:pPr>
        <w:pStyle w:val="Ttulo2"/>
        <w:spacing w:before="240" w:after="240"/>
        <w:ind w:left="0"/>
        <w:rPr>
          <w:sz w:val="24"/>
        </w:rPr>
      </w:pPr>
      <w:r>
        <w:rPr>
          <w:sz w:val="24"/>
        </w:rPr>
        <w:t>8</w:t>
      </w:r>
      <w:r w:rsidR="005663AA" w:rsidRPr="005548F6">
        <w:rPr>
          <w:sz w:val="24"/>
        </w:rPr>
        <w:t xml:space="preserve">. </w:t>
      </w:r>
      <w:r w:rsidR="00C454C0" w:rsidRPr="005548F6">
        <w:rPr>
          <w:sz w:val="24"/>
        </w:rPr>
        <w:t xml:space="preserve">DOCUMENTOS </w:t>
      </w:r>
      <w:r w:rsidR="00306486" w:rsidRPr="005548F6">
        <w:rPr>
          <w:sz w:val="24"/>
        </w:rPr>
        <w:t>ASOCIADOS A</w:t>
      </w:r>
      <w:r w:rsidR="00C454C0" w:rsidRPr="005548F6">
        <w:rPr>
          <w:sz w:val="24"/>
        </w:rPr>
        <w:t>L PROCEDIMIENTO</w:t>
      </w:r>
    </w:p>
    <w:p w:rsidR="00380BE5" w:rsidRPr="00921384" w:rsidRDefault="00380BE5" w:rsidP="00380BE5">
      <w:pPr>
        <w:rPr>
          <w:rFonts w:ascii="Arial" w:hAnsi="Arial" w:cs="Arial"/>
        </w:rPr>
      </w:pPr>
      <w:r w:rsidRPr="00921384">
        <w:rPr>
          <w:rFonts w:ascii="Arial" w:hAnsi="Arial" w:cs="Arial"/>
        </w:rPr>
        <w:t xml:space="preserve">Formato </w:t>
      </w:r>
      <w:r w:rsidR="000158A4">
        <w:rPr>
          <w:rFonts w:ascii="Arial" w:hAnsi="Arial" w:cs="Arial"/>
        </w:rPr>
        <w:t>M</w:t>
      </w:r>
      <w:r w:rsidRPr="00921384">
        <w:rPr>
          <w:rFonts w:ascii="Arial" w:hAnsi="Arial" w:cs="Arial"/>
        </w:rPr>
        <w:t>emorando</w:t>
      </w:r>
    </w:p>
    <w:p w:rsidR="00010DC1" w:rsidRPr="00BA4710" w:rsidRDefault="000158A4" w:rsidP="00010DC1">
      <w:pPr>
        <w:rPr>
          <w:rFonts w:ascii="Arial" w:hAnsi="Arial" w:cs="Arial"/>
        </w:rPr>
      </w:pPr>
      <w:r>
        <w:rPr>
          <w:rFonts w:ascii="Arial" w:hAnsi="Arial" w:cs="Arial"/>
        </w:rPr>
        <w:t>Formato A</w:t>
      </w:r>
      <w:r w:rsidR="00010DC1" w:rsidRPr="00BA4710">
        <w:rPr>
          <w:rFonts w:ascii="Arial" w:hAnsi="Arial" w:cs="Arial"/>
        </w:rPr>
        <w:t>cta</w:t>
      </w:r>
    </w:p>
    <w:p w:rsidR="00010DC1" w:rsidRPr="00BA4710" w:rsidRDefault="00010DC1" w:rsidP="00010DC1">
      <w:pPr>
        <w:rPr>
          <w:rFonts w:ascii="Arial" w:hAnsi="Arial" w:cs="Arial"/>
        </w:rPr>
      </w:pPr>
      <w:r w:rsidRPr="00BA4710">
        <w:rPr>
          <w:rFonts w:ascii="Arial" w:hAnsi="Arial" w:cs="Arial"/>
        </w:rPr>
        <w:t>Formato Circular</w:t>
      </w:r>
    </w:p>
    <w:p w:rsidR="00DB1CE3" w:rsidRPr="00BA4710" w:rsidRDefault="002F49B8" w:rsidP="00010DC1">
      <w:pPr>
        <w:rPr>
          <w:rFonts w:ascii="Arial" w:hAnsi="Arial" w:cs="Arial"/>
        </w:rPr>
      </w:pPr>
      <w:r>
        <w:rPr>
          <w:rFonts w:ascii="Arial" w:hAnsi="Arial" w:cs="Arial"/>
        </w:rPr>
        <w:t>Formato Plan de A</w:t>
      </w:r>
      <w:r w:rsidR="00010DC1" w:rsidRPr="00BA4710">
        <w:rPr>
          <w:rFonts w:ascii="Arial" w:hAnsi="Arial" w:cs="Arial"/>
        </w:rPr>
        <w:t>dquisiciones</w:t>
      </w:r>
    </w:p>
    <w:p w:rsidR="00EB0E97" w:rsidRPr="005548F6" w:rsidRDefault="00967893" w:rsidP="00F97835">
      <w:pPr>
        <w:pStyle w:val="Ttulo2"/>
        <w:spacing w:before="240" w:after="240"/>
        <w:ind w:left="0"/>
        <w:rPr>
          <w:sz w:val="24"/>
        </w:rPr>
      </w:pPr>
      <w:r>
        <w:rPr>
          <w:sz w:val="24"/>
        </w:rPr>
        <w:t>9</w:t>
      </w:r>
      <w:r w:rsidR="005663AA" w:rsidRPr="005548F6">
        <w:rPr>
          <w:sz w:val="24"/>
        </w:rPr>
        <w:t xml:space="preserve">. </w:t>
      </w:r>
      <w:r w:rsidR="00EB0E97" w:rsidRPr="005548F6">
        <w:rPr>
          <w:sz w:val="24"/>
        </w:rPr>
        <w:t>CONTROL DE CAMBIOS</w:t>
      </w: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097"/>
        <w:gridCol w:w="3770"/>
        <w:gridCol w:w="3788"/>
        <w:gridCol w:w="6077"/>
      </w:tblGrid>
      <w:tr w:rsidR="003976DB" w:rsidRPr="004A20C9" w:rsidTr="00970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976DB" w:rsidRPr="00970B14" w:rsidRDefault="003976DB" w:rsidP="00970B14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3"/>
            <w:r w:rsidRPr="00970B14">
              <w:rPr>
                <w:rFonts w:ascii="Arial" w:hAnsi="Arial" w:cs="Arial"/>
              </w:rPr>
              <w:t>Versión</w:t>
            </w:r>
          </w:p>
        </w:tc>
        <w:tc>
          <w:tcPr>
            <w:tcW w:w="0" w:type="auto"/>
            <w:vAlign w:val="center"/>
          </w:tcPr>
          <w:p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 xml:space="preserve">Fecha </w:t>
            </w:r>
            <w:r w:rsidR="00326736" w:rsidRPr="00970B14">
              <w:rPr>
                <w:rFonts w:ascii="Arial" w:hAnsi="Arial" w:cs="Arial"/>
              </w:rPr>
              <w:t>d</w:t>
            </w:r>
            <w:r w:rsidRPr="00970B14">
              <w:rPr>
                <w:rFonts w:ascii="Arial" w:hAnsi="Arial" w:cs="Arial"/>
              </w:rPr>
              <w:t xml:space="preserve">e Entrada </w:t>
            </w:r>
            <w:r w:rsidR="00326736" w:rsidRPr="00970B14">
              <w:rPr>
                <w:rFonts w:ascii="Arial" w:hAnsi="Arial" w:cs="Arial"/>
              </w:rPr>
              <w:t>e</w:t>
            </w:r>
            <w:r w:rsidRPr="00970B14">
              <w:rPr>
                <w:rFonts w:ascii="Arial" w:hAnsi="Arial" w:cs="Arial"/>
              </w:rPr>
              <w:t xml:space="preserve">n Vigencia </w:t>
            </w:r>
            <w:r w:rsidR="00326736" w:rsidRPr="00970B14">
              <w:rPr>
                <w:rFonts w:ascii="Arial" w:hAnsi="Arial" w:cs="Arial"/>
              </w:rPr>
              <w:t>d</w:t>
            </w:r>
            <w:r w:rsidRPr="00970B14">
              <w:rPr>
                <w:rFonts w:ascii="Arial" w:hAnsi="Arial" w:cs="Arial"/>
              </w:rPr>
              <w:t>el Procedimiento</w:t>
            </w:r>
          </w:p>
        </w:tc>
        <w:tc>
          <w:tcPr>
            <w:tcW w:w="0" w:type="auto"/>
            <w:vAlign w:val="center"/>
          </w:tcPr>
          <w:p w:rsidR="003976DB" w:rsidRPr="00970B14" w:rsidRDefault="00326736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Relación de l</w:t>
            </w:r>
            <w:r w:rsidR="003976DB" w:rsidRPr="00970B14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0" w:type="auto"/>
            <w:vAlign w:val="center"/>
          </w:tcPr>
          <w:p w:rsidR="003976DB" w:rsidRPr="00970B14" w:rsidRDefault="003976DB" w:rsidP="00970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0B14">
              <w:rPr>
                <w:rFonts w:ascii="Arial" w:hAnsi="Arial" w:cs="Arial"/>
              </w:rPr>
              <w:t>Naturaleza Del Cambio</w:t>
            </w:r>
          </w:p>
        </w:tc>
      </w:tr>
      <w:bookmarkEnd w:id="0"/>
      <w:tr w:rsidR="00BA4710" w:rsidRPr="004A20C9" w:rsidTr="00970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A4710" w:rsidRPr="004A20C9" w:rsidRDefault="00BA4710" w:rsidP="00970B1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A20C9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0" w:type="auto"/>
            <w:vAlign w:val="center"/>
          </w:tcPr>
          <w:p w:rsidR="00BA4710" w:rsidRPr="004A20C9" w:rsidRDefault="00BA4710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10/11/2017</w:t>
            </w:r>
          </w:p>
        </w:tc>
        <w:tc>
          <w:tcPr>
            <w:tcW w:w="0" w:type="auto"/>
            <w:vAlign w:val="center"/>
          </w:tcPr>
          <w:p w:rsidR="00BA4710" w:rsidRPr="004A20C9" w:rsidRDefault="00BA4710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Adopción del procedimiento</w:t>
            </w:r>
          </w:p>
        </w:tc>
        <w:tc>
          <w:tcPr>
            <w:tcW w:w="0" w:type="auto"/>
            <w:vAlign w:val="center"/>
          </w:tcPr>
          <w:p w:rsidR="00BA4710" w:rsidRPr="004A20C9" w:rsidRDefault="00BA4710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A20C9">
              <w:rPr>
                <w:rFonts w:ascii="Arial" w:hAnsi="Arial" w:cs="Arial"/>
              </w:rPr>
              <w:t>Adopción del procedimiento</w:t>
            </w:r>
          </w:p>
        </w:tc>
      </w:tr>
      <w:tr w:rsidR="00697E45" w:rsidRPr="004A20C9" w:rsidTr="00970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A4710" w:rsidRPr="004A20C9" w:rsidRDefault="00BA4710" w:rsidP="00970B1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A20C9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0" w:type="auto"/>
            <w:vAlign w:val="center"/>
          </w:tcPr>
          <w:p w:rsidR="00BA4710" w:rsidRPr="004A20C9" w:rsidRDefault="00B00591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2</w:t>
            </w:r>
            <w:r w:rsidR="00970B14">
              <w:rPr>
                <w:rFonts w:ascii="Arial" w:hAnsi="Arial" w:cs="Arial"/>
              </w:rPr>
              <w:t>8</w:t>
            </w:r>
            <w:r w:rsidRPr="004A20C9">
              <w:rPr>
                <w:rFonts w:ascii="Arial" w:hAnsi="Arial" w:cs="Arial"/>
              </w:rPr>
              <w:t>/08/2019</w:t>
            </w:r>
          </w:p>
        </w:tc>
        <w:tc>
          <w:tcPr>
            <w:tcW w:w="0" w:type="auto"/>
            <w:vAlign w:val="center"/>
          </w:tcPr>
          <w:p w:rsidR="00BA4710" w:rsidRPr="004A20C9" w:rsidRDefault="00FE4439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Denominación del procedimiento y t</w:t>
            </w:r>
            <w:r w:rsidR="00815847" w:rsidRPr="004A20C9">
              <w:rPr>
                <w:rFonts w:ascii="Arial" w:hAnsi="Arial" w:cs="Arial"/>
              </w:rPr>
              <w:t>odo el documento</w:t>
            </w:r>
          </w:p>
        </w:tc>
        <w:tc>
          <w:tcPr>
            <w:tcW w:w="0" w:type="auto"/>
            <w:vAlign w:val="center"/>
          </w:tcPr>
          <w:p w:rsidR="00BA4710" w:rsidRPr="004A20C9" w:rsidRDefault="00815847" w:rsidP="00970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A20C9">
              <w:rPr>
                <w:rFonts w:ascii="Arial" w:hAnsi="Arial" w:cs="Arial"/>
              </w:rPr>
              <w:t>Se incluyen actividades del anteproyecto de presupuesto y del Marco del Gasto de Mediano Plazo</w:t>
            </w:r>
          </w:p>
        </w:tc>
      </w:tr>
    </w:tbl>
    <w:p w:rsidR="00F515D5" w:rsidRPr="005548F6" w:rsidRDefault="00967893" w:rsidP="00F97835">
      <w:pPr>
        <w:pStyle w:val="Ttulo2"/>
        <w:spacing w:before="240" w:after="240"/>
        <w:ind w:left="0"/>
        <w:rPr>
          <w:sz w:val="24"/>
        </w:rPr>
      </w:pPr>
      <w:r>
        <w:rPr>
          <w:sz w:val="24"/>
        </w:rPr>
        <w:t>10</w:t>
      </w:r>
      <w:r w:rsidR="005663AA" w:rsidRPr="005548F6">
        <w:rPr>
          <w:sz w:val="24"/>
        </w:rPr>
        <w:t xml:space="preserve">. </w:t>
      </w:r>
      <w:r w:rsidR="00F515D5" w:rsidRPr="005548F6">
        <w:rPr>
          <w:sz w:val="24"/>
        </w:rPr>
        <w:t>ETAPAS DEL DOCUMENTO</w:t>
      </w:r>
    </w:p>
    <w:tbl>
      <w:tblPr>
        <w:tblStyle w:val="Tabladecuadrcula1clara"/>
        <w:tblW w:w="5000" w:type="pct"/>
        <w:jc w:val="center"/>
        <w:tblLook w:val="04A0" w:firstRow="1" w:lastRow="0" w:firstColumn="1" w:lastColumn="0" w:noHBand="0" w:noVBand="1"/>
      </w:tblPr>
      <w:tblGrid>
        <w:gridCol w:w="5081"/>
        <w:gridCol w:w="6454"/>
        <w:gridCol w:w="3197"/>
      </w:tblGrid>
      <w:tr w:rsidR="00033BAC" w:rsidRPr="005548F6" w:rsidTr="00970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  <w:vAlign w:val="center"/>
          </w:tcPr>
          <w:p w:rsidR="00033BAC" w:rsidRPr="005548F6" w:rsidRDefault="00033BAC" w:rsidP="00763D47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ETAPAS DEL DOCUMENTO</w:t>
            </w:r>
          </w:p>
        </w:tc>
        <w:tc>
          <w:tcPr>
            <w:tcW w:w="2190" w:type="pct"/>
            <w:vAlign w:val="center"/>
          </w:tcPr>
          <w:p w:rsidR="00033BAC" w:rsidRPr="005548F6" w:rsidRDefault="00033BAC" w:rsidP="00763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1085" w:type="pct"/>
            <w:vAlign w:val="center"/>
          </w:tcPr>
          <w:p w:rsidR="00033BAC" w:rsidRPr="005548F6" w:rsidRDefault="00033BAC" w:rsidP="00763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033BAC" w:rsidRPr="005548F6" w:rsidTr="00970B14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033BAC" w:rsidRPr="005548F6" w:rsidRDefault="00033BAC" w:rsidP="00763D47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Elaboración</w:t>
            </w:r>
          </w:p>
        </w:tc>
        <w:tc>
          <w:tcPr>
            <w:tcW w:w="2190" w:type="pct"/>
          </w:tcPr>
          <w:p w:rsidR="00033BAC" w:rsidRPr="005548F6" w:rsidRDefault="00033BAC" w:rsidP="0076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Martha Gómez y Sara Rivera</w:t>
            </w:r>
          </w:p>
        </w:tc>
        <w:tc>
          <w:tcPr>
            <w:tcW w:w="1085" w:type="pct"/>
          </w:tcPr>
          <w:p w:rsidR="00033BAC" w:rsidRPr="00A64358" w:rsidRDefault="00033BAC" w:rsidP="00763D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Pr="00A64358">
              <w:rPr>
                <w:rFonts w:ascii="Arial" w:hAnsi="Arial" w:cs="Arial"/>
                <w:bCs/>
              </w:rPr>
              <w:t>/08/2019</w:t>
            </w:r>
          </w:p>
        </w:tc>
      </w:tr>
      <w:tr w:rsidR="00033BAC" w:rsidRPr="005548F6" w:rsidTr="00970B14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033BAC" w:rsidRPr="005548F6" w:rsidRDefault="00033BAC" w:rsidP="00763D47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Revisión</w:t>
            </w:r>
          </w:p>
        </w:tc>
        <w:tc>
          <w:tcPr>
            <w:tcW w:w="2190" w:type="pct"/>
          </w:tcPr>
          <w:p w:rsidR="00033BAC" w:rsidRPr="005548F6" w:rsidRDefault="00033BAC" w:rsidP="0076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A50"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1085" w:type="pct"/>
          </w:tcPr>
          <w:p w:rsidR="00033BAC" w:rsidRPr="00A64358" w:rsidRDefault="00033BAC" w:rsidP="00970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70B14">
              <w:rPr>
                <w:rFonts w:ascii="Arial" w:hAnsi="Arial" w:cs="Arial"/>
                <w:bCs/>
              </w:rPr>
              <w:t>8</w:t>
            </w:r>
            <w:r w:rsidRPr="00A64358">
              <w:rPr>
                <w:rFonts w:ascii="Arial" w:hAnsi="Arial" w:cs="Arial"/>
                <w:bCs/>
              </w:rPr>
              <w:t>/08/2019</w:t>
            </w:r>
          </w:p>
        </w:tc>
      </w:tr>
      <w:tr w:rsidR="00033BAC" w:rsidRPr="005548F6" w:rsidTr="00970B14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pct"/>
          </w:tcPr>
          <w:p w:rsidR="00033BAC" w:rsidRPr="005548F6" w:rsidRDefault="00033BAC" w:rsidP="00763D47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Aprobación</w:t>
            </w:r>
          </w:p>
        </w:tc>
        <w:tc>
          <w:tcPr>
            <w:tcW w:w="2190" w:type="pct"/>
          </w:tcPr>
          <w:p w:rsidR="00033BAC" w:rsidRPr="005548F6" w:rsidRDefault="00033BAC" w:rsidP="00763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A50">
              <w:rPr>
                <w:rFonts w:ascii="Arial" w:hAnsi="Arial" w:cs="Arial"/>
                <w:bCs/>
              </w:rPr>
              <w:t>Carlos Parra</w:t>
            </w:r>
          </w:p>
        </w:tc>
        <w:tc>
          <w:tcPr>
            <w:tcW w:w="1085" w:type="pct"/>
          </w:tcPr>
          <w:p w:rsidR="00033BAC" w:rsidRPr="00A64358" w:rsidRDefault="00033BAC" w:rsidP="00970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970B14">
              <w:rPr>
                <w:rFonts w:ascii="Arial" w:hAnsi="Arial" w:cs="Arial"/>
                <w:bCs/>
              </w:rPr>
              <w:t>8</w:t>
            </w:r>
            <w:r w:rsidRPr="00A64358">
              <w:rPr>
                <w:rFonts w:ascii="Arial" w:hAnsi="Arial" w:cs="Arial"/>
                <w:bCs/>
              </w:rPr>
              <w:t>/08/2019</w:t>
            </w:r>
          </w:p>
        </w:tc>
      </w:tr>
    </w:tbl>
    <w:p w:rsidR="002E2962" w:rsidRPr="005548F6" w:rsidRDefault="002E2962" w:rsidP="00F97835">
      <w:pPr>
        <w:jc w:val="both"/>
        <w:rPr>
          <w:rFonts w:ascii="Arial" w:hAnsi="Arial" w:cs="Arial"/>
          <w:bCs/>
        </w:rPr>
      </w:pPr>
    </w:p>
    <w:sectPr w:rsidR="002E2962" w:rsidRPr="005548F6" w:rsidSect="00970B14">
      <w:headerReference w:type="default" r:id="rId7"/>
      <w:footerReference w:type="default" r:id="rId8"/>
      <w:pgSz w:w="17010" w:h="25515" w:code="1"/>
      <w:pgMar w:top="1134" w:right="1134" w:bottom="1616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10" w:rsidRDefault="00EA5F10">
      <w:r>
        <w:separator/>
      </w:r>
    </w:p>
  </w:endnote>
  <w:endnote w:type="continuationSeparator" w:id="0">
    <w:p w:rsidR="00EA5F10" w:rsidRDefault="00EA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92" w:rsidRDefault="00841F15" w:rsidP="00F97835">
    <w:pPr>
      <w:pStyle w:val="Piedepgina"/>
      <w:tabs>
        <w:tab w:val="clear" w:pos="4252"/>
        <w:tab w:val="clear" w:pos="8504"/>
        <w:tab w:val="left" w:pos="1800"/>
        <w:tab w:val="left" w:pos="2520"/>
      </w:tabs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970B14">
      <w:rPr>
        <w:rFonts w:ascii="Arial" w:hAnsi="Arial" w:cs="Arial"/>
        <w:noProof/>
        <w:sz w:val="15"/>
        <w:szCs w:val="20"/>
      </w:rPr>
      <w:t>4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970B14">
      <w:rPr>
        <w:rFonts w:ascii="Arial" w:hAnsi="Arial" w:cs="Arial"/>
        <w:noProof/>
        <w:sz w:val="15"/>
        <w:szCs w:val="20"/>
      </w:rPr>
      <w:t>4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10" w:rsidRDefault="00EA5F10">
      <w:r>
        <w:separator/>
      </w:r>
    </w:p>
  </w:footnote>
  <w:footnote w:type="continuationSeparator" w:id="0">
    <w:p w:rsidR="00EA5F10" w:rsidRDefault="00EA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86"/>
      <w:gridCol w:w="6794"/>
      <w:gridCol w:w="4352"/>
    </w:tblGrid>
    <w:tr w:rsidR="006E21C0" w:rsidTr="00970B14">
      <w:trPr>
        <w:cantSplit/>
        <w:trHeight w:val="445"/>
      </w:trPr>
      <w:tc>
        <w:tcPr>
          <w:tcW w:w="1217" w:type="pct"/>
          <w:vMerge w:val="restart"/>
          <w:vAlign w:val="center"/>
        </w:tcPr>
        <w:p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3" name="Imagen 3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6" w:type="pct"/>
          <w:vMerge w:val="restart"/>
          <w:vAlign w:val="center"/>
        </w:tcPr>
        <w:p w:rsidR="006E21C0" w:rsidRPr="00B32037" w:rsidRDefault="006E21C0" w:rsidP="00966ACA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Procedimiento:</w:t>
          </w:r>
          <w:r w:rsidR="0086373C">
            <w:t xml:space="preserve"> </w:t>
          </w:r>
          <w:r w:rsidR="00725A57" w:rsidRPr="00725A57">
            <w:rPr>
              <w:rFonts w:ascii="Arial" w:hAnsi="Arial" w:cs="Arial"/>
            </w:rPr>
            <w:t>Programación presupuestal</w:t>
          </w:r>
        </w:p>
      </w:tc>
      <w:tc>
        <w:tcPr>
          <w:tcW w:w="1477" w:type="pct"/>
          <w:vAlign w:val="center"/>
        </w:tcPr>
        <w:p w:rsidR="006E21C0" w:rsidRPr="00B32037" w:rsidRDefault="00C454C0" w:rsidP="00010DC1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010DC1">
            <w:rPr>
              <w:rFonts w:ascii="Arial" w:hAnsi="Arial" w:cs="Arial"/>
              <w:bCs/>
              <w:spacing w:val="-6"/>
            </w:rPr>
            <w:t>: DG-20-PD-290</w:t>
          </w:r>
        </w:p>
      </w:tc>
    </w:tr>
    <w:tr w:rsidR="006E21C0" w:rsidTr="00970B14">
      <w:trPr>
        <w:cantSplit/>
        <w:trHeight w:val="388"/>
      </w:trPr>
      <w:tc>
        <w:tcPr>
          <w:tcW w:w="1217" w:type="pct"/>
          <w:vMerge/>
          <w:vAlign w:val="center"/>
        </w:tcPr>
        <w:p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2306" w:type="pct"/>
          <w:vMerge/>
          <w:vAlign w:val="center"/>
        </w:tcPr>
        <w:p w:rsidR="006E21C0" w:rsidRPr="00B3203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1477" w:type="pct"/>
          <w:vAlign w:val="center"/>
        </w:tcPr>
        <w:p w:rsidR="006E21C0" w:rsidRPr="00B32037" w:rsidRDefault="00966ACA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Versión:</w:t>
          </w:r>
          <w:r w:rsidR="00BA4710">
            <w:rPr>
              <w:rFonts w:ascii="Arial" w:hAnsi="Arial" w:cs="Arial"/>
              <w:bCs/>
              <w:spacing w:val="-6"/>
            </w:rPr>
            <w:t>2</w:t>
          </w:r>
        </w:p>
      </w:tc>
    </w:tr>
    <w:tr w:rsidR="006E21C0" w:rsidTr="00970B14">
      <w:trPr>
        <w:cantSplit/>
        <w:trHeight w:val="407"/>
      </w:trPr>
      <w:tc>
        <w:tcPr>
          <w:tcW w:w="1217" w:type="pct"/>
          <w:vMerge/>
          <w:vAlign w:val="center"/>
        </w:tcPr>
        <w:p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2306" w:type="pct"/>
          <w:vAlign w:val="center"/>
        </w:tcPr>
        <w:p w:rsidR="006E21C0" w:rsidRPr="00B32037" w:rsidRDefault="00E37112" w:rsidP="00DB1CE3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</w:t>
          </w:r>
          <w:r w:rsidR="006E21C0">
            <w:rPr>
              <w:rFonts w:ascii="Arial" w:hAnsi="Arial" w:cs="Arial"/>
              <w:bCs/>
              <w:spacing w:val="-6"/>
            </w:rPr>
            <w:t>roceso:</w:t>
          </w:r>
          <w:r w:rsidR="001C7E04">
            <w:rPr>
              <w:rFonts w:ascii="Arial" w:hAnsi="Arial" w:cs="Arial"/>
              <w:bCs/>
              <w:spacing w:val="-6"/>
            </w:rPr>
            <w:t xml:space="preserve"> </w:t>
          </w:r>
          <w:r w:rsidR="00725A57">
            <w:rPr>
              <w:rFonts w:ascii="Arial" w:hAnsi="Arial" w:cs="Arial"/>
              <w:bCs/>
              <w:spacing w:val="-6"/>
            </w:rPr>
            <w:t>Direccionamiento Estratégico</w:t>
          </w:r>
        </w:p>
      </w:tc>
      <w:tc>
        <w:tcPr>
          <w:tcW w:w="1477" w:type="pct"/>
          <w:vAlign w:val="center"/>
        </w:tcPr>
        <w:p w:rsidR="006E21C0" w:rsidRPr="00255F0F" w:rsidRDefault="00C454C0" w:rsidP="00970B14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proofErr w:type="spellStart"/>
          <w:r>
            <w:rPr>
              <w:rFonts w:ascii="Arial" w:hAnsi="Arial" w:cs="Arial"/>
              <w:bCs/>
              <w:spacing w:val="-6"/>
            </w:rPr>
            <w:t>Vigencia</w:t>
          </w:r>
          <w:r w:rsidR="00966ACA">
            <w:rPr>
              <w:rFonts w:ascii="Arial" w:hAnsi="Arial" w:cs="Arial"/>
              <w:bCs/>
              <w:spacing w:val="-6"/>
            </w:rPr>
            <w:t>:</w:t>
          </w:r>
          <w:r w:rsidR="00B00591">
            <w:rPr>
              <w:rFonts w:ascii="Arial" w:hAnsi="Arial" w:cs="Arial"/>
              <w:bCs/>
              <w:spacing w:val="-6"/>
            </w:rPr>
            <w:t>2</w:t>
          </w:r>
          <w:r w:rsidR="00970B14">
            <w:rPr>
              <w:rFonts w:ascii="Arial" w:hAnsi="Arial" w:cs="Arial"/>
              <w:bCs/>
              <w:spacing w:val="-6"/>
            </w:rPr>
            <w:t>8</w:t>
          </w:r>
          <w:proofErr w:type="spellEnd"/>
          <w:r w:rsidR="00B00591">
            <w:rPr>
              <w:rFonts w:ascii="Arial" w:hAnsi="Arial" w:cs="Arial"/>
              <w:bCs/>
              <w:spacing w:val="-6"/>
            </w:rPr>
            <w:t>/</w:t>
          </w:r>
          <w:r w:rsidR="00725A57">
            <w:rPr>
              <w:rFonts w:ascii="Arial" w:hAnsi="Arial" w:cs="Arial"/>
              <w:bCs/>
              <w:spacing w:val="-6"/>
            </w:rPr>
            <w:t>08/2019</w:t>
          </w:r>
        </w:p>
      </w:tc>
    </w:tr>
  </w:tbl>
  <w:p w:rsidR="000F4492" w:rsidRDefault="000F4492" w:rsidP="00F978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800"/>
    <w:multiLevelType w:val="hybridMultilevel"/>
    <w:tmpl w:val="49A0FAF0"/>
    <w:lvl w:ilvl="0" w:tplc="2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051D"/>
    <w:multiLevelType w:val="hybridMultilevel"/>
    <w:tmpl w:val="E3BA0FA2"/>
    <w:lvl w:ilvl="0" w:tplc="0AF80D64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F4C22"/>
    <w:multiLevelType w:val="hybridMultilevel"/>
    <w:tmpl w:val="F684B2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6"/>
  </w:num>
  <w:num w:numId="8">
    <w:abstractNumId w:val="31"/>
  </w:num>
  <w:num w:numId="9">
    <w:abstractNumId w:val="27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25"/>
  </w:num>
  <w:num w:numId="15">
    <w:abstractNumId w:val="22"/>
  </w:num>
  <w:num w:numId="16">
    <w:abstractNumId w:val="28"/>
  </w:num>
  <w:num w:numId="17">
    <w:abstractNumId w:val="17"/>
  </w:num>
  <w:num w:numId="18">
    <w:abstractNumId w:val="23"/>
  </w:num>
  <w:num w:numId="19">
    <w:abstractNumId w:val="32"/>
  </w:num>
  <w:num w:numId="20">
    <w:abstractNumId w:val="30"/>
  </w:num>
  <w:num w:numId="21">
    <w:abstractNumId w:val="16"/>
  </w:num>
  <w:num w:numId="22">
    <w:abstractNumId w:val="33"/>
  </w:num>
  <w:num w:numId="23">
    <w:abstractNumId w:val="6"/>
  </w:num>
  <w:num w:numId="24">
    <w:abstractNumId w:val="9"/>
  </w:num>
  <w:num w:numId="25">
    <w:abstractNumId w:val="2"/>
  </w:num>
  <w:num w:numId="26">
    <w:abstractNumId w:val="24"/>
  </w:num>
  <w:num w:numId="27">
    <w:abstractNumId w:val="20"/>
  </w:num>
  <w:num w:numId="28">
    <w:abstractNumId w:val="35"/>
  </w:num>
  <w:num w:numId="29">
    <w:abstractNumId w:val="13"/>
  </w:num>
  <w:num w:numId="30">
    <w:abstractNumId w:val="19"/>
  </w:num>
  <w:num w:numId="31">
    <w:abstractNumId w:val="18"/>
  </w:num>
  <w:num w:numId="32">
    <w:abstractNumId w:val="21"/>
  </w:num>
  <w:num w:numId="33">
    <w:abstractNumId w:val="34"/>
  </w:num>
  <w:num w:numId="34">
    <w:abstractNumId w:val="7"/>
  </w:num>
  <w:num w:numId="35">
    <w:abstractNumId w:val="2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10DC1"/>
    <w:rsid w:val="000158A4"/>
    <w:rsid w:val="00016CCF"/>
    <w:rsid w:val="00021E72"/>
    <w:rsid w:val="000246DD"/>
    <w:rsid w:val="00030EE6"/>
    <w:rsid w:val="00031020"/>
    <w:rsid w:val="00033BAC"/>
    <w:rsid w:val="00037911"/>
    <w:rsid w:val="00051AB8"/>
    <w:rsid w:val="00065136"/>
    <w:rsid w:val="0007783F"/>
    <w:rsid w:val="000948D3"/>
    <w:rsid w:val="000953C0"/>
    <w:rsid w:val="00096576"/>
    <w:rsid w:val="000B2D17"/>
    <w:rsid w:val="000C22B3"/>
    <w:rsid w:val="000C567E"/>
    <w:rsid w:val="000C6CDA"/>
    <w:rsid w:val="000D4DC5"/>
    <w:rsid w:val="000F4492"/>
    <w:rsid w:val="00103E2C"/>
    <w:rsid w:val="00106C77"/>
    <w:rsid w:val="001338CB"/>
    <w:rsid w:val="00137F04"/>
    <w:rsid w:val="00140D19"/>
    <w:rsid w:val="00147149"/>
    <w:rsid w:val="001A0686"/>
    <w:rsid w:val="001A56B9"/>
    <w:rsid w:val="001C7E04"/>
    <w:rsid w:val="001D57FB"/>
    <w:rsid w:val="00205145"/>
    <w:rsid w:val="00217F29"/>
    <w:rsid w:val="00232D8F"/>
    <w:rsid w:val="00241A3B"/>
    <w:rsid w:val="00255F0F"/>
    <w:rsid w:val="00256692"/>
    <w:rsid w:val="00280E64"/>
    <w:rsid w:val="0028565B"/>
    <w:rsid w:val="0029340E"/>
    <w:rsid w:val="002B28C7"/>
    <w:rsid w:val="002E2962"/>
    <w:rsid w:val="002E3722"/>
    <w:rsid w:val="002F219F"/>
    <w:rsid w:val="002F49B8"/>
    <w:rsid w:val="00306486"/>
    <w:rsid w:val="00311231"/>
    <w:rsid w:val="00326736"/>
    <w:rsid w:val="00336027"/>
    <w:rsid w:val="00337C1E"/>
    <w:rsid w:val="0034033E"/>
    <w:rsid w:val="00352839"/>
    <w:rsid w:val="003648B1"/>
    <w:rsid w:val="003705B0"/>
    <w:rsid w:val="00380BE5"/>
    <w:rsid w:val="00387D3F"/>
    <w:rsid w:val="003976DB"/>
    <w:rsid w:val="003B37C1"/>
    <w:rsid w:val="003C3FE4"/>
    <w:rsid w:val="003C52FD"/>
    <w:rsid w:val="003D1082"/>
    <w:rsid w:val="003D3C4A"/>
    <w:rsid w:val="003D62A9"/>
    <w:rsid w:val="003F5CE7"/>
    <w:rsid w:val="00400FBA"/>
    <w:rsid w:val="00420871"/>
    <w:rsid w:val="00424159"/>
    <w:rsid w:val="0042794B"/>
    <w:rsid w:val="0046411C"/>
    <w:rsid w:val="00466222"/>
    <w:rsid w:val="004A20C9"/>
    <w:rsid w:val="004C6ABE"/>
    <w:rsid w:val="004C7914"/>
    <w:rsid w:val="004D7DB7"/>
    <w:rsid w:val="00507A02"/>
    <w:rsid w:val="00517A5E"/>
    <w:rsid w:val="005254C8"/>
    <w:rsid w:val="005257C7"/>
    <w:rsid w:val="0053205E"/>
    <w:rsid w:val="005548F6"/>
    <w:rsid w:val="00563B6D"/>
    <w:rsid w:val="00565B47"/>
    <w:rsid w:val="005663AA"/>
    <w:rsid w:val="00573BF9"/>
    <w:rsid w:val="005766F8"/>
    <w:rsid w:val="00591156"/>
    <w:rsid w:val="005966E5"/>
    <w:rsid w:val="005A72A4"/>
    <w:rsid w:val="005C07D0"/>
    <w:rsid w:val="005F3D8F"/>
    <w:rsid w:val="00603E9D"/>
    <w:rsid w:val="006075CB"/>
    <w:rsid w:val="00615125"/>
    <w:rsid w:val="0062147F"/>
    <w:rsid w:val="0062416B"/>
    <w:rsid w:val="00630A23"/>
    <w:rsid w:val="00631D24"/>
    <w:rsid w:val="00650E52"/>
    <w:rsid w:val="00651580"/>
    <w:rsid w:val="0065400C"/>
    <w:rsid w:val="00667607"/>
    <w:rsid w:val="006678CE"/>
    <w:rsid w:val="00673BA8"/>
    <w:rsid w:val="006861AF"/>
    <w:rsid w:val="00697E45"/>
    <w:rsid w:val="006A3753"/>
    <w:rsid w:val="006B6763"/>
    <w:rsid w:val="006E21C0"/>
    <w:rsid w:val="006E4521"/>
    <w:rsid w:val="006F15D1"/>
    <w:rsid w:val="00713633"/>
    <w:rsid w:val="00725A57"/>
    <w:rsid w:val="007A0704"/>
    <w:rsid w:val="007B2945"/>
    <w:rsid w:val="007B5693"/>
    <w:rsid w:val="007B6EFB"/>
    <w:rsid w:val="007D115F"/>
    <w:rsid w:val="007D1AC7"/>
    <w:rsid w:val="007E5BC5"/>
    <w:rsid w:val="007F22D6"/>
    <w:rsid w:val="0080152A"/>
    <w:rsid w:val="00803EF0"/>
    <w:rsid w:val="00815847"/>
    <w:rsid w:val="008173A9"/>
    <w:rsid w:val="008405EE"/>
    <w:rsid w:val="00841F15"/>
    <w:rsid w:val="00855B04"/>
    <w:rsid w:val="0086373C"/>
    <w:rsid w:val="00867F09"/>
    <w:rsid w:val="00872AF4"/>
    <w:rsid w:val="00877F32"/>
    <w:rsid w:val="008A24DB"/>
    <w:rsid w:val="008B1573"/>
    <w:rsid w:val="008B52F4"/>
    <w:rsid w:val="008C123F"/>
    <w:rsid w:val="008C37A6"/>
    <w:rsid w:val="008E6283"/>
    <w:rsid w:val="008F327D"/>
    <w:rsid w:val="008F7C3E"/>
    <w:rsid w:val="009122C2"/>
    <w:rsid w:val="00913434"/>
    <w:rsid w:val="00914E2A"/>
    <w:rsid w:val="0091747C"/>
    <w:rsid w:val="00920DDE"/>
    <w:rsid w:val="00921384"/>
    <w:rsid w:val="00921D5E"/>
    <w:rsid w:val="009537FF"/>
    <w:rsid w:val="00966ACA"/>
    <w:rsid w:val="00967893"/>
    <w:rsid w:val="00970B14"/>
    <w:rsid w:val="00976332"/>
    <w:rsid w:val="00982471"/>
    <w:rsid w:val="009867DD"/>
    <w:rsid w:val="009E1DD9"/>
    <w:rsid w:val="009E340C"/>
    <w:rsid w:val="00A128FB"/>
    <w:rsid w:val="00A44BEC"/>
    <w:rsid w:val="00A52BAF"/>
    <w:rsid w:val="00A557E6"/>
    <w:rsid w:val="00A71D8D"/>
    <w:rsid w:val="00A73431"/>
    <w:rsid w:val="00A736D4"/>
    <w:rsid w:val="00A74264"/>
    <w:rsid w:val="00A82CA1"/>
    <w:rsid w:val="00A8741C"/>
    <w:rsid w:val="00A87B00"/>
    <w:rsid w:val="00A96BBB"/>
    <w:rsid w:val="00AA0ECD"/>
    <w:rsid w:val="00AB4793"/>
    <w:rsid w:val="00AD7A9A"/>
    <w:rsid w:val="00AE7921"/>
    <w:rsid w:val="00AF21F2"/>
    <w:rsid w:val="00B00591"/>
    <w:rsid w:val="00B123EE"/>
    <w:rsid w:val="00B13EE1"/>
    <w:rsid w:val="00B2515A"/>
    <w:rsid w:val="00B30CFB"/>
    <w:rsid w:val="00B318C5"/>
    <w:rsid w:val="00B32037"/>
    <w:rsid w:val="00B34812"/>
    <w:rsid w:val="00B42AC3"/>
    <w:rsid w:val="00B4399C"/>
    <w:rsid w:val="00B576D0"/>
    <w:rsid w:val="00B67DA1"/>
    <w:rsid w:val="00B73802"/>
    <w:rsid w:val="00B90AC6"/>
    <w:rsid w:val="00B949FF"/>
    <w:rsid w:val="00BA3E83"/>
    <w:rsid w:val="00BA4710"/>
    <w:rsid w:val="00BB2336"/>
    <w:rsid w:val="00BC4796"/>
    <w:rsid w:val="00BE2D94"/>
    <w:rsid w:val="00BE5C61"/>
    <w:rsid w:val="00C056EE"/>
    <w:rsid w:val="00C20029"/>
    <w:rsid w:val="00C41A81"/>
    <w:rsid w:val="00C42C3B"/>
    <w:rsid w:val="00C454C0"/>
    <w:rsid w:val="00C54B3B"/>
    <w:rsid w:val="00C83575"/>
    <w:rsid w:val="00C83A60"/>
    <w:rsid w:val="00C9789A"/>
    <w:rsid w:val="00CA24CF"/>
    <w:rsid w:val="00CC60FD"/>
    <w:rsid w:val="00CD0EE4"/>
    <w:rsid w:val="00CD1318"/>
    <w:rsid w:val="00CD5109"/>
    <w:rsid w:val="00CE1DA4"/>
    <w:rsid w:val="00D139C8"/>
    <w:rsid w:val="00D21133"/>
    <w:rsid w:val="00D265DC"/>
    <w:rsid w:val="00D32DEF"/>
    <w:rsid w:val="00D5301E"/>
    <w:rsid w:val="00D95966"/>
    <w:rsid w:val="00DB1CE3"/>
    <w:rsid w:val="00DD47C2"/>
    <w:rsid w:val="00DE4378"/>
    <w:rsid w:val="00DE4DD7"/>
    <w:rsid w:val="00E06372"/>
    <w:rsid w:val="00E078C4"/>
    <w:rsid w:val="00E1210E"/>
    <w:rsid w:val="00E27245"/>
    <w:rsid w:val="00E37112"/>
    <w:rsid w:val="00E37C04"/>
    <w:rsid w:val="00E52469"/>
    <w:rsid w:val="00E549A2"/>
    <w:rsid w:val="00E6751B"/>
    <w:rsid w:val="00E70233"/>
    <w:rsid w:val="00E70CF8"/>
    <w:rsid w:val="00EA5F10"/>
    <w:rsid w:val="00EB0E97"/>
    <w:rsid w:val="00EB4669"/>
    <w:rsid w:val="00EE1E84"/>
    <w:rsid w:val="00EE4C20"/>
    <w:rsid w:val="00EF45FD"/>
    <w:rsid w:val="00EF5359"/>
    <w:rsid w:val="00F14E74"/>
    <w:rsid w:val="00F24582"/>
    <w:rsid w:val="00F32600"/>
    <w:rsid w:val="00F376A3"/>
    <w:rsid w:val="00F4063F"/>
    <w:rsid w:val="00F42DCF"/>
    <w:rsid w:val="00F515D5"/>
    <w:rsid w:val="00F75562"/>
    <w:rsid w:val="00F7743C"/>
    <w:rsid w:val="00F831AD"/>
    <w:rsid w:val="00F97835"/>
    <w:rsid w:val="00FA5A34"/>
    <w:rsid w:val="00FC0BEB"/>
    <w:rsid w:val="00FD7510"/>
    <w:rsid w:val="00FE4439"/>
    <w:rsid w:val="00FF56E0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1951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Sara Paola Rivera Moreno</cp:lastModifiedBy>
  <cp:revision>4</cp:revision>
  <cp:lastPrinted>2010-11-02T20:20:00Z</cp:lastPrinted>
  <dcterms:created xsi:type="dcterms:W3CDTF">2019-08-23T15:38:00Z</dcterms:created>
  <dcterms:modified xsi:type="dcterms:W3CDTF">2019-08-28T14:43:00Z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