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2FAB" w14:textId="77777777" w:rsidR="003A2BC7" w:rsidRDefault="003A2BC7" w:rsidP="003A2BC7">
      <w:pPr>
        <w:jc w:val="center"/>
      </w:pPr>
    </w:p>
    <w:p w14:paraId="255E1A28" w14:textId="77777777" w:rsidR="003A2BC7" w:rsidRDefault="003A2BC7" w:rsidP="003A2BC7">
      <w:pPr>
        <w:jc w:val="center"/>
      </w:pPr>
    </w:p>
    <w:p w14:paraId="6F8B990C" w14:textId="77777777" w:rsidR="003A2BC7" w:rsidRDefault="003A2BC7" w:rsidP="003A2BC7">
      <w:pPr>
        <w:jc w:val="center"/>
      </w:pPr>
    </w:p>
    <w:p w14:paraId="6CF8E774" w14:textId="77777777" w:rsidR="003A2BC7" w:rsidRDefault="003A2BC7" w:rsidP="003A2BC7">
      <w:pPr>
        <w:jc w:val="center"/>
      </w:pPr>
    </w:p>
    <w:p w14:paraId="21A26669" w14:textId="77777777" w:rsidR="003A2BC7" w:rsidRDefault="003A2BC7" w:rsidP="003A2BC7">
      <w:pPr>
        <w:jc w:val="center"/>
      </w:pPr>
    </w:p>
    <w:p w14:paraId="1926FBDF" w14:textId="77777777" w:rsidR="003A2BC7" w:rsidRDefault="003A2BC7" w:rsidP="003A2BC7">
      <w:pPr>
        <w:jc w:val="center"/>
      </w:pPr>
    </w:p>
    <w:p w14:paraId="1F2D46DC" w14:textId="77777777" w:rsidR="003A2BC7" w:rsidRDefault="003A2BC7" w:rsidP="003A2BC7">
      <w:pPr>
        <w:jc w:val="center"/>
      </w:pPr>
    </w:p>
    <w:p w14:paraId="66F285D3" w14:textId="77777777" w:rsidR="003A2BC7" w:rsidRDefault="003A2BC7" w:rsidP="003A2BC7">
      <w:pPr>
        <w:jc w:val="center"/>
      </w:pPr>
    </w:p>
    <w:p w14:paraId="30C0EC4A" w14:textId="77777777" w:rsidR="003A2BC7" w:rsidRDefault="003A2BC7" w:rsidP="003A2BC7">
      <w:pPr>
        <w:jc w:val="center"/>
      </w:pPr>
    </w:p>
    <w:p w14:paraId="498F199F" w14:textId="77777777" w:rsidR="003A2BC7" w:rsidRDefault="003A2BC7" w:rsidP="003A2BC7">
      <w:pPr>
        <w:jc w:val="center"/>
      </w:pPr>
    </w:p>
    <w:p w14:paraId="792D8602" w14:textId="77777777" w:rsidR="003A2BC7" w:rsidRDefault="003A2BC7" w:rsidP="003A2BC7">
      <w:pPr>
        <w:jc w:val="center"/>
      </w:pPr>
    </w:p>
    <w:p w14:paraId="215B60D5" w14:textId="77777777" w:rsidR="003A2BC7" w:rsidRDefault="003A2BC7" w:rsidP="003A2BC7">
      <w:pPr>
        <w:jc w:val="center"/>
      </w:pPr>
    </w:p>
    <w:p w14:paraId="362025E5" w14:textId="7AD85B83" w:rsidR="003A2BC7" w:rsidRPr="00F7067C" w:rsidRDefault="00F7067C" w:rsidP="003A2BC7">
      <w:pPr>
        <w:jc w:val="center"/>
        <w:rPr>
          <w:rFonts w:ascii="Arial" w:hAnsi="Arial" w:cs="Arial"/>
          <w:b/>
          <w:sz w:val="28"/>
          <w:szCs w:val="28"/>
        </w:rPr>
      </w:pPr>
      <w:r w:rsidRPr="00F7067C">
        <w:rPr>
          <w:rFonts w:ascii="Arial" w:hAnsi="Arial" w:cs="Arial"/>
          <w:b/>
          <w:sz w:val="28"/>
          <w:szCs w:val="28"/>
        </w:rPr>
        <w:t>PLAN DE MANTENIMIENTO DE LAS TECNOLOGÍAS DE LA INFORMACIÓN Y LAS COMUNICACIONES 202</w:t>
      </w:r>
      <w:r w:rsidR="00F6256B">
        <w:rPr>
          <w:rFonts w:ascii="Arial" w:hAnsi="Arial" w:cs="Arial"/>
          <w:b/>
          <w:sz w:val="28"/>
          <w:szCs w:val="28"/>
        </w:rPr>
        <w:t>6</w:t>
      </w:r>
    </w:p>
    <w:p w14:paraId="31160B83" w14:textId="0F36944F" w:rsidR="003A2BC7" w:rsidRPr="00F7067C" w:rsidRDefault="00F7067C" w:rsidP="003A2BC7">
      <w:pPr>
        <w:jc w:val="center"/>
        <w:rPr>
          <w:rFonts w:ascii="Arial" w:hAnsi="Arial" w:cs="Arial"/>
          <w:b/>
          <w:sz w:val="28"/>
          <w:szCs w:val="28"/>
        </w:rPr>
        <w:sectPr w:rsidR="003A2BC7" w:rsidRPr="00F7067C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F7067C">
        <w:rPr>
          <w:rFonts w:ascii="Arial" w:hAnsi="Arial" w:cs="Arial"/>
          <w:b/>
          <w:sz w:val="28"/>
          <w:szCs w:val="28"/>
        </w:rPr>
        <w:t>INSTITUTO NACIONAL PARA CIEGOS - INCI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526437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F5A1D8" w14:textId="77777777" w:rsidR="00254CD2" w:rsidRDefault="00254CD2" w:rsidP="00024214">
          <w:pPr>
            <w:pStyle w:val="TtuloTDC"/>
            <w:tabs>
              <w:tab w:val="left" w:pos="1875"/>
            </w:tabs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es-ES" w:eastAsia="en-US"/>
            </w:rPr>
          </w:pPr>
        </w:p>
        <w:p w14:paraId="386C6D74" w14:textId="77777777" w:rsidR="00254CD2" w:rsidRDefault="00254CD2" w:rsidP="00024214">
          <w:pPr>
            <w:pStyle w:val="TtuloTDC"/>
            <w:tabs>
              <w:tab w:val="left" w:pos="1875"/>
            </w:tabs>
            <w:rPr>
              <w:lang w:val="es-ES"/>
            </w:rPr>
          </w:pPr>
        </w:p>
        <w:p w14:paraId="1E4E1593" w14:textId="77777777" w:rsidR="00254CD2" w:rsidRDefault="00254CD2" w:rsidP="00024214">
          <w:pPr>
            <w:pStyle w:val="TtuloTDC"/>
            <w:tabs>
              <w:tab w:val="left" w:pos="1875"/>
            </w:tabs>
            <w:rPr>
              <w:lang w:val="es-ES"/>
            </w:rPr>
          </w:pPr>
        </w:p>
        <w:p w14:paraId="3FB1E896" w14:textId="77777777" w:rsidR="00C56D94" w:rsidRDefault="00FB62B4" w:rsidP="00024214">
          <w:pPr>
            <w:pStyle w:val="TtuloTDC"/>
            <w:tabs>
              <w:tab w:val="left" w:pos="1875"/>
            </w:tabs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</w:pPr>
          <w:r w:rsidRPr="00F7067C">
            <w:rPr>
              <w:rFonts w:ascii="Arial" w:hAnsi="Arial" w:cs="Arial"/>
              <w:b/>
              <w:color w:val="auto"/>
              <w:sz w:val="24"/>
              <w:szCs w:val="24"/>
              <w:lang w:val="es-ES"/>
            </w:rPr>
            <w:t>Contenido</w:t>
          </w:r>
        </w:p>
        <w:p w14:paraId="35C4770F" w14:textId="1037973E" w:rsidR="00FB62B4" w:rsidRPr="00CD1605" w:rsidRDefault="00024214" w:rsidP="00024214">
          <w:pPr>
            <w:pStyle w:val="TtuloTDC"/>
            <w:tabs>
              <w:tab w:val="left" w:pos="1875"/>
            </w:tabs>
            <w:rPr>
              <w:rFonts w:ascii="Arial" w:hAnsi="Arial" w:cs="Arial"/>
              <w:color w:val="auto"/>
              <w:sz w:val="24"/>
              <w:szCs w:val="24"/>
              <w:lang w:val="es-ES"/>
            </w:rPr>
          </w:pPr>
          <w:r w:rsidRPr="00CD1605">
            <w:rPr>
              <w:rFonts w:ascii="Arial" w:hAnsi="Arial" w:cs="Arial"/>
              <w:sz w:val="24"/>
              <w:szCs w:val="24"/>
              <w:lang w:val="es-ES"/>
            </w:rPr>
            <w:tab/>
          </w:r>
        </w:p>
        <w:p w14:paraId="71B67632" w14:textId="04017F00" w:rsidR="00CD1605" w:rsidRPr="00CD1605" w:rsidRDefault="00FB62B4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r w:rsidRPr="00CD1605">
            <w:fldChar w:fldCharType="begin"/>
          </w:r>
          <w:r w:rsidRPr="00CD1605">
            <w:instrText xml:space="preserve"> TOC \o "1-3" \h \z \u </w:instrText>
          </w:r>
          <w:r w:rsidRPr="00CD1605">
            <w:fldChar w:fldCharType="separate"/>
          </w:r>
          <w:hyperlink w:anchor="_Toc218758290" w:history="1">
            <w:r w:rsidR="00CD1605" w:rsidRPr="00CD1605">
              <w:rPr>
                <w:rStyle w:val="Hipervnculo"/>
                <w:lang w:val="es-ES"/>
              </w:rPr>
              <w:t>Objetivo</w:t>
            </w:r>
            <w:r w:rsidR="00CD1605" w:rsidRPr="00CD1605">
              <w:rPr>
                <w:webHidden/>
              </w:rPr>
              <w:tab/>
            </w:r>
            <w:r w:rsidR="00CD1605" w:rsidRPr="00CD1605">
              <w:rPr>
                <w:webHidden/>
              </w:rPr>
              <w:fldChar w:fldCharType="begin"/>
            </w:r>
            <w:r w:rsidR="00CD1605" w:rsidRPr="00CD1605">
              <w:rPr>
                <w:webHidden/>
              </w:rPr>
              <w:instrText xml:space="preserve"> PAGEREF _Toc218758290 \h </w:instrText>
            </w:r>
            <w:r w:rsidR="00CD1605" w:rsidRPr="00CD1605">
              <w:rPr>
                <w:webHidden/>
              </w:rPr>
            </w:r>
            <w:r w:rsidR="00CD1605" w:rsidRPr="00CD1605">
              <w:rPr>
                <w:webHidden/>
              </w:rPr>
              <w:fldChar w:fldCharType="separate"/>
            </w:r>
            <w:r w:rsidR="00CD1605" w:rsidRPr="00CD1605">
              <w:rPr>
                <w:webHidden/>
              </w:rPr>
              <w:t>3</w:t>
            </w:r>
            <w:r w:rsidR="00CD1605" w:rsidRPr="00CD1605">
              <w:rPr>
                <w:webHidden/>
              </w:rPr>
              <w:fldChar w:fldCharType="end"/>
            </w:r>
          </w:hyperlink>
        </w:p>
        <w:p w14:paraId="7FE145BC" w14:textId="526A4A32" w:rsidR="00CD1605" w:rsidRPr="00CD1605" w:rsidRDefault="00CD160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8758291" w:history="1">
            <w:r w:rsidRPr="00CD1605">
              <w:rPr>
                <w:rStyle w:val="Hipervnculo"/>
                <w:lang w:val="es-ES"/>
              </w:rPr>
              <w:t>Objetivos Específicos</w:t>
            </w:r>
            <w:r w:rsidRPr="00CD1605">
              <w:rPr>
                <w:webHidden/>
              </w:rPr>
              <w:tab/>
            </w:r>
            <w:r w:rsidRPr="00CD1605">
              <w:rPr>
                <w:webHidden/>
              </w:rPr>
              <w:fldChar w:fldCharType="begin"/>
            </w:r>
            <w:r w:rsidRPr="00CD1605">
              <w:rPr>
                <w:webHidden/>
              </w:rPr>
              <w:instrText xml:space="preserve"> PAGEREF _Toc218758291 \h </w:instrText>
            </w:r>
            <w:r w:rsidRPr="00CD1605">
              <w:rPr>
                <w:webHidden/>
              </w:rPr>
            </w:r>
            <w:r w:rsidRPr="00CD1605">
              <w:rPr>
                <w:webHidden/>
              </w:rPr>
              <w:fldChar w:fldCharType="separate"/>
            </w:r>
            <w:r w:rsidRPr="00CD1605">
              <w:rPr>
                <w:webHidden/>
              </w:rPr>
              <w:t>3</w:t>
            </w:r>
            <w:r w:rsidRPr="00CD1605">
              <w:rPr>
                <w:webHidden/>
              </w:rPr>
              <w:fldChar w:fldCharType="end"/>
            </w:r>
          </w:hyperlink>
        </w:p>
        <w:p w14:paraId="003D3AF5" w14:textId="27C575B9" w:rsidR="00CD1605" w:rsidRPr="00CD1605" w:rsidRDefault="00CD160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8758292" w:history="1">
            <w:r w:rsidRPr="00CD1605">
              <w:rPr>
                <w:rStyle w:val="Hipervnculo"/>
                <w:lang w:val="es-ES"/>
              </w:rPr>
              <w:t>Alcance del Documento</w:t>
            </w:r>
            <w:r w:rsidRPr="00CD1605">
              <w:rPr>
                <w:webHidden/>
              </w:rPr>
              <w:tab/>
            </w:r>
            <w:r w:rsidRPr="00CD1605">
              <w:rPr>
                <w:webHidden/>
              </w:rPr>
              <w:fldChar w:fldCharType="begin"/>
            </w:r>
            <w:r w:rsidRPr="00CD1605">
              <w:rPr>
                <w:webHidden/>
              </w:rPr>
              <w:instrText xml:space="preserve"> PAGEREF _Toc218758292 \h </w:instrText>
            </w:r>
            <w:r w:rsidRPr="00CD1605">
              <w:rPr>
                <w:webHidden/>
              </w:rPr>
            </w:r>
            <w:r w:rsidRPr="00CD1605">
              <w:rPr>
                <w:webHidden/>
              </w:rPr>
              <w:fldChar w:fldCharType="separate"/>
            </w:r>
            <w:r w:rsidRPr="00CD1605">
              <w:rPr>
                <w:webHidden/>
              </w:rPr>
              <w:t>3</w:t>
            </w:r>
            <w:r w:rsidRPr="00CD1605">
              <w:rPr>
                <w:webHidden/>
              </w:rPr>
              <w:fldChar w:fldCharType="end"/>
            </w:r>
          </w:hyperlink>
        </w:p>
        <w:p w14:paraId="480B6DA5" w14:textId="08A6C50E" w:rsidR="00CD1605" w:rsidRPr="00CD1605" w:rsidRDefault="00CD160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8758293" w:history="1">
            <w:r w:rsidRPr="00CD1605">
              <w:rPr>
                <w:rStyle w:val="Hipervnculo"/>
                <w:lang w:val="es-ES"/>
              </w:rPr>
              <w:t>Actividades de los Responsables</w:t>
            </w:r>
            <w:r w:rsidRPr="00CD1605">
              <w:rPr>
                <w:webHidden/>
              </w:rPr>
              <w:tab/>
            </w:r>
            <w:r w:rsidRPr="00CD1605">
              <w:rPr>
                <w:webHidden/>
              </w:rPr>
              <w:fldChar w:fldCharType="begin"/>
            </w:r>
            <w:r w:rsidRPr="00CD1605">
              <w:rPr>
                <w:webHidden/>
              </w:rPr>
              <w:instrText xml:space="preserve"> PAGEREF _Toc218758293 \h </w:instrText>
            </w:r>
            <w:r w:rsidRPr="00CD1605">
              <w:rPr>
                <w:webHidden/>
              </w:rPr>
            </w:r>
            <w:r w:rsidRPr="00CD1605">
              <w:rPr>
                <w:webHidden/>
              </w:rPr>
              <w:fldChar w:fldCharType="separate"/>
            </w:r>
            <w:r w:rsidRPr="00CD1605">
              <w:rPr>
                <w:webHidden/>
              </w:rPr>
              <w:t>3</w:t>
            </w:r>
            <w:r w:rsidRPr="00CD1605">
              <w:rPr>
                <w:webHidden/>
              </w:rPr>
              <w:fldChar w:fldCharType="end"/>
            </w:r>
          </w:hyperlink>
        </w:p>
        <w:p w14:paraId="797A25F6" w14:textId="417944FE" w:rsidR="00CD1605" w:rsidRPr="00CD1605" w:rsidRDefault="00CD160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8758294" w:history="1">
            <w:r w:rsidRPr="00CD1605">
              <w:rPr>
                <w:rStyle w:val="Hipervnculo"/>
                <w:lang w:val="es-ES"/>
              </w:rPr>
              <w:t>Hoja de Ruta</w:t>
            </w:r>
            <w:r w:rsidRPr="00CD1605">
              <w:rPr>
                <w:webHidden/>
              </w:rPr>
              <w:tab/>
            </w:r>
            <w:r w:rsidRPr="00CD1605">
              <w:rPr>
                <w:webHidden/>
              </w:rPr>
              <w:fldChar w:fldCharType="begin"/>
            </w:r>
            <w:r w:rsidRPr="00CD1605">
              <w:rPr>
                <w:webHidden/>
              </w:rPr>
              <w:instrText xml:space="preserve"> PAGEREF _Toc218758294 \h </w:instrText>
            </w:r>
            <w:r w:rsidRPr="00CD1605">
              <w:rPr>
                <w:webHidden/>
              </w:rPr>
            </w:r>
            <w:r w:rsidRPr="00CD1605">
              <w:rPr>
                <w:webHidden/>
              </w:rPr>
              <w:fldChar w:fldCharType="separate"/>
            </w:r>
            <w:r w:rsidRPr="00CD1605">
              <w:rPr>
                <w:webHidden/>
              </w:rPr>
              <w:t>4</w:t>
            </w:r>
            <w:r w:rsidRPr="00CD1605">
              <w:rPr>
                <w:webHidden/>
              </w:rPr>
              <w:fldChar w:fldCharType="end"/>
            </w:r>
          </w:hyperlink>
        </w:p>
        <w:p w14:paraId="5E0F407B" w14:textId="78BCE469" w:rsidR="00CD1605" w:rsidRPr="00CD1605" w:rsidRDefault="00CD160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  <w:lang w:val="es-ES" w:eastAsia="es-ES"/>
            </w:rPr>
          </w:pPr>
          <w:hyperlink w:anchor="_Toc218758295" w:history="1">
            <w:r w:rsidRPr="00CD1605">
              <w:rPr>
                <w:rStyle w:val="Hipervnculo"/>
                <w:lang w:val="es-ES"/>
              </w:rPr>
              <w:t>Políticas y Normativas</w:t>
            </w:r>
            <w:r w:rsidRPr="00CD1605">
              <w:rPr>
                <w:webHidden/>
              </w:rPr>
              <w:tab/>
            </w:r>
            <w:r w:rsidRPr="00CD1605">
              <w:rPr>
                <w:webHidden/>
              </w:rPr>
              <w:fldChar w:fldCharType="begin"/>
            </w:r>
            <w:r w:rsidRPr="00CD1605">
              <w:rPr>
                <w:webHidden/>
              </w:rPr>
              <w:instrText xml:space="preserve"> PAGEREF _Toc218758295 \h </w:instrText>
            </w:r>
            <w:r w:rsidRPr="00CD1605">
              <w:rPr>
                <w:webHidden/>
              </w:rPr>
            </w:r>
            <w:r w:rsidRPr="00CD1605">
              <w:rPr>
                <w:webHidden/>
              </w:rPr>
              <w:fldChar w:fldCharType="separate"/>
            </w:r>
            <w:r w:rsidRPr="00CD1605">
              <w:rPr>
                <w:webHidden/>
              </w:rPr>
              <w:t>4</w:t>
            </w:r>
            <w:r w:rsidRPr="00CD1605">
              <w:rPr>
                <w:webHidden/>
              </w:rPr>
              <w:fldChar w:fldCharType="end"/>
            </w:r>
          </w:hyperlink>
        </w:p>
        <w:p w14:paraId="3D78A8E6" w14:textId="1A8B6BE2" w:rsidR="00FB62B4" w:rsidRDefault="00FB62B4">
          <w:r w:rsidRPr="00CD1605">
            <w:rPr>
              <w:rFonts w:ascii="Arial" w:hAnsi="Arial" w:cs="Arial"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58F4520D" w14:textId="77777777" w:rsidR="00FB62B4" w:rsidRDefault="00FB62B4">
      <w:pPr>
        <w:sectPr w:rsidR="00FB62B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327A0767" w14:textId="77777777" w:rsidR="00DA1B1E" w:rsidRDefault="00F7067C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1" w:name="_Toc218758290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lastRenderedPageBreak/>
        <w:t>Objetivo</w:t>
      </w:r>
      <w:bookmarkEnd w:id="1"/>
    </w:p>
    <w:p w14:paraId="197E3608" w14:textId="77777777" w:rsidR="00DA1B1E" w:rsidRDefault="00DA1B1E" w:rsidP="00E61549">
      <w:pPr>
        <w:pStyle w:val="TDC1"/>
        <w:numPr>
          <w:ilvl w:val="0"/>
          <w:numId w:val="0"/>
        </w:numPr>
        <w:ind w:left="360"/>
        <w:rPr>
          <w:rStyle w:val="Hipervnculo"/>
          <w:color w:val="auto"/>
          <w:u w:val="none"/>
        </w:rPr>
      </w:pPr>
      <w:r w:rsidRPr="00DA1B1E">
        <w:rPr>
          <w:rStyle w:val="Hipervnculo"/>
          <w:color w:val="auto"/>
          <w:u w:val="none"/>
        </w:rPr>
        <w:t>Definir una hoja de ruta clara y detallada para la ejecución de mantenimientos preventivos y correctivos en la infraestructura tecnológica (hardware y software) del Instituto Nacional para Ciegos - INCI. Este plan busca prevenir, mitigar y corregir fallas que afecten equipos, sistemas de información, seguridad informática y redes, garantizando la continuidad del servicio, la confiabilidad de los componentes y el cumplimiento de estándares de calidad.</w:t>
      </w:r>
    </w:p>
    <w:p w14:paraId="33D943F9" w14:textId="0E7AD65C" w:rsidR="009217F4" w:rsidRPr="00EA2EE7" w:rsidRDefault="00F7067C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2" w:name="_Toc218758291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Objetivos Específicos</w:t>
      </w:r>
      <w:bookmarkEnd w:id="2"/>
    </w:p>
    <w:p w14:paraId="18A99C27" w14:textId="77777777" w:rsidR="009F5BF3" w:rsidRPr="009F5BF3" w:rsidRDefault="009F5BF3" w:rsidP="00E61549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9F5BF3">
        <w:rPr>
          <w:rStyle w:val="Hipervnculo"/>
          <w:color w:val="auto"/>
          <w:u w:val="none"/>
        </w:rPr>
        <w:t>Realizar un diagnóstico integral de la infraestructura tecnológica para identificar necesidades y riesgos</w:t>
      </w:r>
    </w:p>
    <w:p w14:paraId="3DD84BF3" w14:textId="77777777" w:rsidR="009F5BF3" w:rsidRPr="009F5BF3" w:rsidRDefault="009F5BF3" w:rsidP="00E61549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9F5BF3">
        <w:rPr>
          <w:rStyle w:val="Hipervnculo"/>
          <w:color w:val="auto"/>
          <w:u w:val="none"/>
        </w:rPr>
        <w:t>Definir una hoja de ruta que contemple mantenimientos preventivos y correctivos validados</w:t>
      </w:r>
    </w:p>
    <w:p w14:paraId="2DE68391" w14:textId="77777777" w:rsidR="009F5BF3" w:rsidRPr="009F5BF3" w:rsidRDefault="009F5BF3" w:rsidP="00E61549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9F5BF3">
        <w:rPr>
          <w:rStyle w:val="Hipervnculo"/>
          <w:color w:val="auto"/>
          <w:u w:val="none"/>
        </w:rPr>
        <w:t>Establecer un cronograma detallado para la ejecución de mantenimientos preventivos y correctivos</w:t>
      </w:r>
    </w:p>
    <w:p w14:paraId="7F5226CA" w14:textId="77777777" w:rsidR="009F5BF3" w:rsidRPr="009F5BF3" w:rsidRDefault="009F5BF3" w:rsidP="00E61549">
      <w:pPr>
        <w:pStyle w:val="TDC1"/>
        <w:numPr>
          <w:ilvl w:val="0"/>
          <w:numId w:val="7"/>
        </w:numPr>
        <w:rPr>
          <w:rStyle w:val="Hipervnculo"/>
          <w:color w:val="auto"/>
          <w:u w:val="none"/>
        </w:rPr>
      </w:pPr>
      <w:r w:rsidRPr="009F5BF3">
        <w:rPr>
          <w:rStyle w:val="Hipervnculo"/>
          <w:color w:val="auto"/>
          <w:u w:val="none"/>
        </w:rPr>
        <w:t>Diseñar protocolos claros para el desarrollo del cronograma, asegurando la trazabilidad y control de cada actividad</w:t>
      </w:r>
    </w:p>
    <w:p w14:paraId="7A819C27" w14:textId="277286E2" w:rsidR="0019514B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3" w:name="_Toc218758292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Alcance del Documento</w:t>
      </w:r>
      <w:bookmarkEnd w:id="3"/>
    </w:p>
    <w:p w14:paraId="5C9EF323" w14:textId="77777777" w:rsidR="00E61549" w:rsidRDefault="003C664D" w:rsidP="00E61549">
      <w:pPr>
        <w:pStyle w:val="TDC1"/>
        <w:numPr>
          <w:ilvl w:val="0"/>
          <w:numId w:val="0"/>
        </w:numPr>
        <w:ind w:left="360"/>
        <w:rPr>
          <w:rStyle w:val="Hipervnculo"/>
          <w:color w:val="auto"/>
          <w:u w:val="none"/>
        </w:rPr>
      </w:pPr>
      <w:r w:rsidRPr="003C664D">
        <w:rPr>
          <w:rStyle w:val="Hipervnculo"/>
          <w:color w:val="auto"/>
          <w:u w:val="none"/>
        </w:rPr>
        <w:t>Este documento abarca todas las actividades relacionadas con el mantenimiento preventivo y correctivo de la infraestructura tecnológica del INCI, incluyendo:</w:t>
      </w:r>
    </w:p>
    <w:p w14:paraId="7FA38606" w14:textId="77777777" w:rsidR="00E61549" w:rsidRPr="00E61549" w:rsidRDefault="00E61549" w:rsidP="00E61549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E61549">
        <w:rPr>
          <w:rStyle w:val="Hipervnculo"/>
          <w:color w:val="auto"/>
          <w:u w:val="none"/>
        </w:rPr>
        <w:t>Definición del cronograma de mantenimiento preventivo para los servicios tecnológicos de la Entidad</w:t>
      </w:r>
    </w:p>
    <w:p w14:paraId="3F598F23" w14:textId="77777777" w:rsidR="00E61549" w:rsidRPr="00E61549" w:rsidRDefault="00E61549" w:rsidP="00E61549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E61549">
        <w:rPr>
          <w:rStyle w:val="Hipervnculo"/>
          <w:color w:val="auto"/>
          <w:u w:val="none"/>
        </w:rPr>
        <w:t>Asignación de responsabilidades al Grupo de Infraestructura para garantizar soporte técnico y mantenimiento de hardware y software</w:t>
      </w:r>
    </w:p>
    <w:p w14:paraId="69D50E66" w14:textId="77777777" w:rsidR="00E61549" w:rsidRPr="00E61549" w:rsidRDefault="00E61549" w:rsidP="00E61549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E61549">
        <w:rPr>
          <w:rStyle w:val="Hipervnculo"/>
          <w:color w:val="auto"/>
          <w:u w:val="none"/>
        </w:rPr>
        <w:t>Implementación de mantenimientos preventivos y correctivos en equipos, redes y sistemas críticos</w:t>
      </w:r>
    </w:p>
    <w:p w14:paraId="1B8FC858" w14:textId="025F3595" w:rsidR="004D187F" w:rsidRPr="00EA2EE7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4" w:name="_Toc218758293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Actividades de los Responsables</w:t>
      </w:r>
      <w:bookmarkEnd w:id="4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</w:t>
      </w:r>
    </w:p>
    <w:p w14:paraId="7605928F" w14:textId="77777777" w:rsidR="00F409D2" w:rsidRDefault="00F409D2" w:rsidP="00E61549">
      <w:pPr>
        <w:pStyle w:val="TDC1"/>
        <w:numPr>
          <w:ilvl w:val="0"/>
          <w:numId w:val="0"/>
        </w:numPr>
        <w:ind w:left="720" w:hanging="360"/>
      </w:pPr>
      <w:r w:rsidRPr="00C56D94">
        <w:rPr>
          <w:rStyle w:val="Hipervnculo"/>
          <w:color w:val="auto"/>
          <w:u w:val="none"/>
        </w:rPr>
        <w:t>Desde el proceso de Informática y Tecnología se relacionan las actividades a ejecutar por los responsables del Grupo:</w:t>
      </w:r>
    </w:p>
    <w:p w14:paraId="4D1BD112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Verificar que todo el software esté registrado en el inventario institucional y cuente con licencia válida</w:t>
      </w:r>
    </w:p>
    <w:p w14:paraId="3F30782E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Revisar el estado físico y funcional de los equipos de cómputo; gestionar garantías cuando aplique</w:t>
      </w:r>
    </w:p>
    <w:p w14:paraId="417F51FB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Realizar limpieza física y lógica de equipos informáticos e impresoras</w:t>
      </w:r>
    </w:p>
    <w:p w14:paraId="4C78D8C8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Comprobar la vigencia y actualización de antivirus y sistemas de protección</w:t>
      </w:r>
    </w:p>
    <w:p w14:paraId="53215F40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lastRenderedPageBreak/>
        <w:t>Desinstalar software sin licencia para cumplir con normativas de propiedad intelectual</w:t>
      </w:r>
    </w:p>
    <w:p w14:paraId="424FF7FC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Gestionar contratos para mantenimiento preventivo y correctivo de impresoras, escáneres y periféricos</w:t>
      </w:r>
    </w:p>
    <w:p w14:paraId="10E9614E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Evaluar el estado de hardware y justificar cambios o reemplazos cuando sea necesario</w:t>
      </w:r>
    </w:p>
    <w:p w14:paraId="6446B03F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Verificar el correcto funcionamiento de firewall, switches, access points y plataforma de telefonía IP</w:t>
      </w:r>
    </w:p>
    <w:p w14:paraId="06E44299" w14:textId="77777777" w:rsidR="00CA656B" w:rsidRPr="00CA656B" w:rsidRDefault="00CA656B" w:rsidP="00CA656B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CA656B">
        <w:rPr>
          <w:rStyle w:val="Hipervnculo"/>
          <w:color w:val="auto"/>
          <w:u w:val="none"/>
        </w:rPr>
        <w:t>Registrar todas las actividades en la herramienta de gestión y reportar al coordinador de infraestructura</w:t>
      </w:r>
    </w:p>
    <w:p w14:paraId="59B173BC" w14:textId="4716C628" w:rsidR="00C65278" w:rsidRPr="00EA2EE7" w:rsidRDefault="00C56D94" w:rsidP="00EA2EE7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5" w:name="_Toc218758294"/>
      <w:r w:rsidRPr="00EA2EE7">
        <w:rPr>
          <w:rFonts w:ascii="Arial" w:hAnsi="Arial" w:cs="Arial"/>
          <w:b/>
          <w:color w:val="auto"/>
          <w:sz w:val="24"/>
          <w:szCs w:val="24"/>
          <w:lang w:val="es-ES"/>
        </w:rPr>
        <w:t>Hoja de Ruta</w:t>
      </w:r>
      <w:bookmarkEnd w:id="5"/>
    </w:p>
    <w:p w14:paraId="4B6805C4" w14:textId="77777777" w:rsidR="00C65278" w:rsidRDefault="00C65278" w:rsidP="00C65278">
      <w:r>
        <w:rPr>
          <w:noProof/>
        </w:rPr>
        <w:drawing>
          <wp:anchor distT="0" distB="0" distL="114300" distR="114300" simplePos="0" relativeHeight="251658240" behindDoc="0" locked="0" layoutInCell="1" allowOverlap="1" wp14:anchorId="183DBEF6" wp14:editId="3BC1190E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5819329" cy="2063532"/>
            <wp:effectExtent l="0" t="0" r="0" b="0"/>
            <wp:wrapNone/>
            <wp:docPr id="1" name="Imagen 1" descr="Hoja de ruta del plan de mantenimiento para el 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329" cy="2063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4A646" w14:textId="52A63878" w:rsidR="00F44763" w:rsidRDefault="00F44763" w:rsidP="00F44763"/>
    <w:p w14:paraId="4DD14256" w14:textId="6FEAC8E9" w:rsidR="00B372D6" w:rsidRDefault="00B372D6" w:rsidP="00F44763"/>
    <w:p w14:paraId="1D2A9386" w14:textId="056A3F58" w:rsidR="00B372D6" w:rsidRDefault="00B372D6" w:rsidP="00F44763"/>
    <w:p w14:paraId="580CC744" w14:textId="7D4573A9" w:rsidR="00B372D6" w:rsidRDefault="00B372D6" w:rsidP="00F44763"/>
    <w:p w14:paraId="6C73132D" w14:textId="15B39E0F" w:rsidR="00B372D6" w:rsidRDefault="00B372D6" w:rsidP="00F44763"/>
    <w:p w14:paraId="26C370E7" w14:textId="32CF2463" w:rsidR="00B372D6" w:rsidRDefault="00B372D6" w:rsidP="00F44763"/>
    <w:p w14:paraId="4FB3B4F8" w14:textId="3C32611D" w:rsidR="00B372D6" w:rsidRDefault="00B372D6" w:rsidP="00F44763"/>
    <w:p w14:paraId="73C47943" w14:textId="536CF67A" w:rsidR="00B372D6" w:rsidRDefault="00B372D6" w:rsidP="00F44763"/>
    <w:p w14:paraId="0F8582FC" w14:textId="76A10A70" w:rsidR="00B372D6" w:rsidRDefault="00B372D6" w:rsidP="00B372D6">
      <w:pPr>
        <w:pStyle w:val="Ttulo1"/>
        <w:rPr>
          <w:rFonts w:ascii="Arial" w:hAnsi="Arial" w:cs="Arial"/>
          <w:b/>
          <w:color w:val="auto"/>
          <w:sz w:val="24"/>
          <w:szCs w:val="24"/>
          <w:lang w:val="es-ES"/>
        </w:rPr>
      </w:pPr>
      <w:bookmarkStart w:id="6" w:name="_Toc218758295"/>
      <w:r w:rsidRPr="00B372D6">
        <w:rPr>
          <w:rFonts w:ascii="Arial" w:hAnsi="Arial" w:cs="Arial"/>
          <w:b/>
          <w:color w:val="auto"/>
          <w:sz w:val="24"/>
          <w:szCs w:val="24"/>
          <w:lang w:val="es-ES"/>
        </w:rPr>
        <w:t>Políticas y Normativas</w:t>
      </w:r>
      <w:bookmarkEnd w:id="6"/>
    </w:p>
    <w:p w14:paraId="0FFEBC91" w14:textId="77777777" w:rsidR="00B372D6" w:rsidRPr="00B372D6" w:rsidRDefault="00B372D6" w:rsidP="00B372D6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B372D6">
        <w:rPr>
          <w:rStyle w:val="Hipervnculo"/>
          <w:color w:val="auto"/>
          <w:u w:val="none"/>
        </w:rPr>
        <w:t>Política de seguridad informática: actualización periódica de antivirus, parches y control de accesos</w:t>
      </w:r>
    </w:p>
    <w:p w14:paraId="3A94B0F0" w14:textId="77777777" w:rsidR="00B372D6" w:rsidRPr="00B372D6" w:rsidRDefault="00B372D6" w:rsidP="00B372D6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B372D6">
        <w:rPr>
          <w:rStyle w:val="Hipervnculo"/>
          <w:color w:val="auto"/>
          <w:u w:val="none"/>
        </w:rPr>
        <w:t>Política de gestión de activos: inventario actualizado y auditorías semestrales</w:t>
      </w:r>
    </w:p>
    <w:p w14:paraId="7554ABBE" w14:textId="77777777" w:rsidR="00B372D6" w:rsidRPr="00B372D6" w:rsidRDefault="00B372D6" w:rsidP="00B372D6">
      <w:pPr>
        <w:pStyle w:val="TDC1"/>
        <w:numPr>
          <w:ilvl w:val="0"/>
          <w:numId w:val="8"/>
        </w:numPr>
        <w:rPr>
          <w:rStyle w:val="Hipervnculo"/>
          <w:color w:val="auto"/>
          <w:u w:val="none"/>
        </w:rPr>
      </w:pPr>
      <w:r w:rsidRPr="00B372D6">
        <w:rPr>
          <w:rStyle w:val="Hipervnculo"/>
          <w:color w:val="auto"/>
          <w:u w:val="none"/>
        </w:rPr>
        <w:t>Política de continuidad del servicio: plan de contingencia ante fallas críticas</w:t>
      </w:r>
    </w:p>
    <w:p w14:paraId="163878F8" w14:textId="00618E9F" w:rsidR="00B372D6" w:rsidRPr="00B372D6" w:rsidRDefault="00B372D6" w:rsidP="00F44763">
      <w:pPr>
        <w:pStyle w:val="TDC1"/>
        <w:numPr>
          <w:ilvl w:val="0"/>
          <w:numId w:val="8"/>
        </w:numPr>
      </w:pPr>
      <w:r w:rsidRPr="00B372D6">
        <w:rPr>
          <w:rStyle w:val="Hipervnculo"/>
          <w:color w:val="auto"/>
          <w:u w:val="none"/>
        </w:rPr>
        <w:t>Cumplimiento de leyes de protección de datos (Habeas Data) y normas ISO 27001</w:t>
      </w:r>
    </w:p>
    <w:sectPr w:rsidR="00B372D6" w:rsidRPr="00B372D6" w:rsidSect="00EA79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D69F" w14:textId="77777777" w:rsidR="006B6E1F" w:rsidRDefault="006B6E1F" w:rsidP="00A7119C">
      <w:pPr>
        <w:spacing w:after="0" w:line="240" w:lineRule="auto"/>
      </w:pPr>
      <w:r>
        <w:separator/>
      </w:r>
    </w:p>
  </w:endnote>
  <w:endnote w:type="continuationSeparator" w:id="0">
    <w:p w14:paraId="5907BC57" w14:textId="77777777" w:rsidR="006B6E1F" w:rsidRDefault="006B6E1F" w:rsidP="00A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CD28" w14:textId="77777777" w:rsidR="006B6E1F" w:rsidRDefault="006B6E1F" w:rsidP="00A7119C">
      <w:pPr>
        <w:spacing w:after="0" w:line="240" w:lineRule="auto"/>
      </w:pPr>
      <w:r>
        <w:separator/>
      </w:r>
    </w:p>
  </w:footnote>
  <w:footnote w:type="continuationSeparator" w:id="0">
    <w:p w14:paraId="0AEFF36D" w14:textId="77777777" w:rsidR="006B6E1F" w:rsidRDefault="006B6E1F" w:rsidP="00A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36E0" w14:textId="4FF59CD0" w:rsidR="00A7119C" w:rsidRDefault="00A7119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B5573" wp14:editId="65908055">
          <wp:simplePos x="0" y="0"/>
          <wp:positionH relativeFrom="column">
            <wp:posOffset>-362158</wp:posOffset>
          </wp:positionH>
          <wp:positionV relativeFrom="paragraph">
            <wp:posOffset>-87630</wp:posOffset>
          </wp:positionV>
          <wp:extent cx="2381250" cy="523875"/>
          <wp:effectExtent l="0" t="0" r="0" b="9525"/>
          <wp:wrapTight wrapText="bothSides">
            <wp:wrapPolygon edited="0">
              <wp:start x="173" y="0"/>
              <wp:lineTo x="0" y="8640"/>
              <wp:lineTo x="0" y="21207"/>
              <wp:lineTo x="21427" y="21207"/>
              <wp:lineTo x="21427" y="14924"/>
              <wp:lineTo x="19354" y="12567"/>
              <wp:lineTo x="18835" y="0"/>
              <wp:lineTo x="173" y="0"/>
            </wp:wrapPolygon>
          </wp:wrapTight>
          <wp:docPr id="2" name="Imagen 2" descr="Logo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D7E71E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D05B7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B5712"/>
    <w:multiLevelType w:val="hybridMultilevel"/>
    <w:tmpl w:val="16F65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E09B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6939ED"/>
    <w:multiLevelType w:val="hybridMultilevel"/>
    <w:tmpl w:val="FF8A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A0756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2D1126"/>
    <w:multiLevelType w:val="hybridMultilevel"/>
    <w:tmpl w:val="7CB25064"/>
    <w:lvl w:ilvl="0" w:tplc="7916D3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10124"/>
    <w:multiLevelType w:val="hybridMultilevel"/>
    <w:tmpl w:val="53E615B8"/>
    <w:lvl w:ilvl="0" w:tplc="A704EF8A">
      <w:start w:val="1"/>
      <w:numFmt w:val="bullet"/>
      <w:pStyle w:val="TD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50E8C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937F65"/>
    <w:multiLevelType w:val="hybridMultilevel"/>
    <w:tmpl w:val="16226F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7"/>
  </w:num>
  <w:num w:numId="11">
    <w:abstractNumId w:val="7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B4"/>
    <w:rsid w:val="00024214"/>
    <w:rsid w:val="0007162D"/>
    <w:rsid w:val="00091CAD"/>
    <w:rsid w:val="000C4325"/>
    <w:rsid w:val="0019514B"/>
    <w:rsid w:val="001B114C"/>
    <w:rsid w:val="0023332B"/>
    <w:rsid w:val="00254CD2"/>
    <w:rsid w:val="0031605A"/>
    <w:rsid w:val="0032044C"/>
    <w:rsid w:val="00337BE0"/>
    <w:rsid w:val="00342F58"/>
    <w:rsid w:val="0036448E"/>
    <w:rsid w:val="00394D82"/>
    <w:rsid w:val="003A2BC7"/>
    <w:rsid w:val="003C664D"/>
    <w:rsid w:val="004D187F"/>
    <w:rsid w:val="0053584E"/>
    <w:rsid w:val="005604B6"/>
    <w:rsid w:val="005A5CA0"/>
    <w:rsid w:val="005D2319"/>
    <w:rsid w:val="005D49B3"/>
    <w:rsid w:val="005D6934"/>
    <w:rsid w:val="00684E0C"/>
    <w:rsid w:val="00694139"/>
    <w:rsid w:val="006B6E1F"/>
    <w:rsid w:val="00773764"/>
    <w:rsid w:val="007750EF"/>
    <w:rsid w:val="007B216F"/>
    <w:rsid w:val="007C3C6F"/>
    <w:rsid w:val="007C77EE"/>
    <w:rsid w:val="008A30FF"/>
    <w:rsid w:val="008D039D"/>
    <w:rsid w:val="009217F4"/>
    <w:rsid w:val="009F34C2"/>
    <w:rsid w:val="009F5BF3"/>
    <w:rsid w:val="00A03BAD"/>
    <w:rsid w:val="00A7119C"/>
    <w:rsid w:val="00B372D6"/>
    <w:rsid w:val="00B50D3E"/>
    <w:rsid w:val="00BE4A13"/>
    <w:rsid w:val="00BE660D"/>
    <w:rsid w:val="00C56D94"/>
    <w:rsid w:val="00C65278"/>
    <w:rsid w:val="00C668DB"/>
    <w:rsid w:val="00CA656B"/>
    <w:rsid w:val="00CC1C2C"/>
    <w:rsid w:val="00CD1605"/>
    <w:rsid w:val="00D253F6"/>
    <w:rsid w:val="00DA1B1E"/>
    <w:rsid w:val="00DA261C"/>
    <w:rsid w:val="00DE611E"/>
    <w:rsid w:val="00E56850"/>
    <w:rsid w:val="00E61549"/>
    <w:rsid w:val="00E6194C"/>
    <w:rsid w:val="00EA2EE7"/>
    <w:rsid w:val="00EA794E"/>
    <w:rsid w:val="00EF374B"/>
    <w:rsid w:val="00F032E5"/>
    <w:rsid w:val="00F06E54"/>
    <w:rsid w:val="00F35883"/>
    <w:rsid w:val="00F409D2"/>
    <w:rsid w:val="00F44763"/>
    <w:rsid w:val="00F6256B"/>
    <w:rsid w:val="00F7067C"/>
    <w:rsid w:val="00F722A6"/>
    <w:rsid w:val="00F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FA013"/>
  <w15:chartTrackingRefBased/>
  <w15:docId w15:val="{718AAC62-1FD9-4B20-85C4-059803F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2B4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61549"/>
    <w:pPr>
      <w:numPr>
        <w:numId w:val="9"/>
      </w:numPr>
      <w:tabs>
        <w:tab w:val="right" w:leader="dot" w:pos="8828"/>
      </w:tabs>
      <w:spacing w:after="100"/>
    </w:pPr>
    <w:rPr>
      <w:rFonts w:ascii="Arial" w:hAnsi="Arial" w:cs="Arial"/>
      <w:noProof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B62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60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652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19C"/>
  </w:style>
  <w:style w:type="paragraph" w:styleId="Piedepgina">
    <w:name w:val="footer"/>
    <w:basedOn w:val="Normal"/>
    <w:link w:val="Piedepgina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19C"/>
  </w:style>
  <w:style w:type="paragraph" w:styleId="TDC2">
    <w:name w:val="toc 2"/>
    <w:basedOn w:val="Normal"/>
    <w:next w:val="Normal"/>
    <w:autoRedefine/>
    <w:uiPriority w:val="39"/>
    <w:unhideWhenUsed/>
    <w:rsid w:val="00A7119C"/>
    <w:pPr>
      <w:spacing w:after="100"/>
      <w:ind w:left="220"/>
    </w:pPr>
  </w:style>
  <w:style w:type="paragraph" w:styleId="Listaconvietas">
    <w:name w:val="List Bullet"/>
    <w:basedOn w:val="Normal"/>
    <w:uiPriority w:val="99"/>
    <w:unhideWhenUsed/>
    <w:rsid w:val="00B372D6"/>
    <w:pPr>
      <w:numPr>
        <w:numId w:val="12"/>
      </w:numPr>
      <w:spacing w:line="278" w:lineRule="auto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1C360658B6B44788A4C8DD58625FB7" ma:contentTypeVersion="12" ma:contentTypeDescription="Crear nuevo documento." ma:contentTypeScope="" ma:versionID="6de558812941834d93299e716fe1fdd1">
  <xsd:schema xmlns:xsd="http://www.w3.org/2001/XMLSchema" xmlns:xs="http://www.w3.org/2001/XMLSchema" xmlns:p="http://schemas.microsoft.com/office/2006/metadata/properties" xmlns:ns2="8316ff78-c2db-4c16-9c8d-711ac52afd57" xmlns:ns3="81eb63a7-f57b-4ba6-bffd-92a4466f347e" targetNamespace="http://schemas.microsoft.com/office/2006/metadata/properties" ma:root="true" ma:fieldsID="db7ae1b1e3f104b3d658b364c744eec6" ns2:_="" ns3:_="">
    <xsd:import namespace="8316ff78-c2db-4c16-9c8d-711ac52afd57"/>
    <xsd:import namespace="81eb63a7-f57b-4ba6-bffd-92a4466f3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6ff78-c2db-4c16-9c8d-711ac52af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3699df2-1c39-45fb-b227-5e3da89a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63a7-f57b-4ba6-bffd-92a4466f34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01cfdb-3f0c-4dad-91c3-f414ab62fa36}" ma:internalName="TaxCatchAll" ma:showField="CatchAllData" ma:web="81eb63a7-f57b-4ba6-bffd-92a4466f3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eb63a7-f57b-4ba6-bffd-92a4466f347e" xsi:nil="true"/>
    <lcf76f155ced4ddcb4097134ff3c332f xmlns="8316ff78-c2db-4c16-9c8d-711ac52afd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AC9A1-3F2D-4151-A7AC-7EBF847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6F18F-969C-4316-A778-6E1A80A07934}"/>
</file>

<file path=customXml/itemProps3.xml><?xml version="1.0" encoding="utf-8"?>
<ds:datastoreItem xmlns:ds="http://schemas.openxmlformats.org/officeDocument/2006/customXml" ds:itemID="{9494D80F-A71A-4D8D-A2FC-8C52A8837EEC}"/>
</file>

<file path=customXml/itemProps4.xml><?xml version="1.0" encoding="utf-8"?>
<ds:datastoreItem xmlns:ds="http://schemas.openxmlformats.org/officeDocument/2006/customXml" ds:itemID="{3DFA8D16-1464-49EE-A3FE-951BE0539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Betancourt</dc:creator>
  <cp:keywords/>
  <dc:description/>
  <cp:lastModifiedBy>Yeferson David Murcia Miranda</cp:lastModifiedBy>
  <cp:revision>20</cp:revision>
  <dcterms:created xsi:type="dcterms:W3CDTF">2023-04-11T19:33:00Z</dcterms:created>
  <dcterms:modified xsi:type="dcterms:W3CDTF">2026-01-08T14:51:00Z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0x010100DF1C360658B6B44788A4C8DD58625FB7</vt:lpwstr>
  </property>
</Properties>
</file>